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1"/>
        <w:widowControl/>
        <w:spacing w:lineRule="auto" w:line="360" w:before="0" w:after="0"/>
        <w:jc w:val="center"/>
        <w:rPr>
          <w:rFonts w:ascii="Times New Roman" w:hAnsi="Times New Roman"/>
          <w:b/>
          <w:sz w:val="22"/>
          <w:szCs w:val="22"/>
        </w:rPr>
      </w:pPr>
      <w:r>
        <w:rPr>
          <w:rFonts w:ascii="Times New Roman" w:hAnsi="Times New Roman"/>
          <w:b/>
          <w:sz w:val="22"/>
          <w:szCs w:val="22"/>
        </w:rPr>
        <w:t>CZĘŚĆ  IV WZÓR UMOWY … .2026.ZP</w:t>
      </w:r>
    </w:p>
    <w:p>
      <w:pPr>
        <w:pStyle w:val="Normal"/>
        <w:jc w:val="both"/>
        <w:rPr>
          <w:sz w:val="22"/>
          <w:szCs w:val="22"/>
        </w:rPr>
      </w:pPr>
      <w:r>
        <w:rPr>
          <w:rFonts w:eastAsia="Bookman Old Style"/>
          <w:sz w:val="22"/>
          <w:szCs w:val="22"/>
        </w:rPr>
        <w:t xml:space="preserve">Umowa zawarta w dniu ........................... w w rezultacie wyboru oferty w </w:t>
      </w:r>
      <w:r>
        <w:rPr>
          <w:sz w:val="22"/>
          <w:szCs w:val="22"/>
        </w:rPr>
        <w:t xml:space="preserve">trybie podstawowym w oparciu o art. 266 i 275 pkt 1 ustawy z dnia 11 września 2019 r. Prawo zamówień publicznych (tekst. jedn. Dz. U. z 2026 r. poz. 793) dalej jako ustawa pzp </w:t>
      </w:r>
      <w:r>
        <w:rPr>
          <w:rFonts w:eastAsia="Bookman Old Style"/>
          <w:sz w:val="22"/>
          <w:szCs w:val="22"/>
        </w:rPr>
        <w:t>pomiędzy,</w:t>
      </w:r>
      <w:r>
        <w:rPr>
          <w:rFonts w:eastAsia="Bookman Old Style"/>
          <w:sz w:val="22"/>
          <w:szCs w:val="22"/>
        </w:rPr>
        <w:t>Jarosławskim Towarzystwem Budownictwa Społecznego Sp.Z o.o.</w:t>
      </w:r>
      <w:r>
        <w:rPr>
          <w:rFonts w:eastAsia="Bookman Old Style"/>
          <w:sz w:val="22"/>
          <w:szCs w:val="22"/>
        </w:rPr>
        <w:t xml:space="preserve"> posiadającą NIP: </w:t>
      </w:r>
      <w:r>
        <w:rPr>
          <w:rFonts w:eastAsia="Bookman Old Style"/>
          <w:sz w:val="22"/>
          <w:szCs w:val="22"/>
        </w:rPr>
        <w:t>792 187 94 33</w:t>
      </w:r>
      <w:r>
        <w:rPr>
          <w:rFonts w:eastAsia="Bookman Old Style"/>
          <w:sz w:val="22"/>
          <w:szCs w:val="22"/>
        </w:rPr>
        <w:t xml:space="preserve">, </w:t>
      </w:r>
      <w:r>
        <w:rPr>
          <w:bCs/>
          <w:sz w:val="22"/>
          <w:szCs w:val="22"/>
        </w:rPr>
        <w:t xml:space="preserve">REGON </w:t>
      </w:r>
      <w:r>
        <w:rPr>
          <w:bCs/>
          <w:sz w:val="22"/>
          <w:szCs w:val="22"/>
        </w:rPr>
        <w:t xml:space="preserve">6590953449 </w:t>
      </w:r>
      <w:r>
        <w:rPr>
          <w:rFonts w:eastAsia="Bookman Old Style"/>
          <w:sz w:val="22"/>
          <w:szCs w:val="22"/>
        </w:rPr>
        <w:t>zwaną dalej „zamawiającym” reprezentowaną prze</w:t>
      </w:r>
      <w:r>
        <w:rPr>
          <w:rFonts w:eastAsia="Bookman Old Style"/>
          <w:sz w:val="22"/>
          <w:szCs w:val="22"/>
        </w:rPr>
        <w:t xml:space="preserve">z </w:t>
      </w:r>
    </w:p>
    <w:p>
      <w:pPr>
        <w:pStyle w:val="Normal"/>
        <w:jc w:val="both"/>
        <w:rPr>
          <w:sz w:val="22"/>
          <w:szCs w:val="22"/>
        </w:rPr>
      </w:pPr>
      <w:r>
        <w:rPr>
          <w:rFonts w:eastAsia="Bookman Old Style"/>
          <w:sz w:val="22"/>
          <w:szCs w:val="22"/>
        </w:rPr>
        <w:t>W</w:t>
      </w:r>
      <w:r>
        <w:rPr>
          <w:rFonts w:eastAsia="Bookman Old Style"/>
          <w:sz w:val="22"/>
          <w:szCs w:val="22"/>
        </w:rPr>
        <w:t xml:space="preserve">iesława Strzepka- Prezesa Zarządu </w:t>
      </w:r>
    </w:p>
    <w:p>
      <w:pPr>
        <w:pStyle w:val="Normalny1"/>
        <w:jc w:val="both"/>
        <w:rPr>
          <w:rFonts w:eastAsia="Bookman Old Style"/>
          <w:sz w:val="22"/>
          <w:szCs w:val="22"/>
        </w:rPr>
      </w:pPr>
      <w:r>
        <w:rPr>
          <w:rFonts w:eastAsia="Bookman Old Style"/>
          <w:sz w:val="22"/>
          <w:szCs w:val="22"/>
        </w:rPr>
        <w:t>a</w:t>
      </w:r>
    </w:p>
    <w:p>
      <w:pPr>
        <w:pStyle w:val="Normalny1"/>
        <w:jc w:val="both"/>
        <w:rPr>
          <w:rFonts w:eastAsia="Bookman Old Style"/>
          <w:b/>
          <w:sz w:val="22"/>
          <w:szCs w:val="22"/>
        </w:rPr>
      </w:pPr>
      <w:r>
        <w:rPr>
          <w:rFonts w:eastAsia="Bookman Old Style"/>
          <w:b/>
          <w:sz w:val="22"/>
          <w:szCs w:val="22"/>
        </w:rPr>
        <w:t>……………………………………………………………………</w:t>
      </w:r>
      <w:r>
        <w:rPr>
          <w:rFonts w:eastAsia="Bookman Old Style"/>
          <w:b/>
          <w:sz w:val="22"/>
          <w:szCs w:val="22"/>
        </w:rPr>
        <w:t>.</w:t>
      </w:r>
    </w:p>
    <w:p>
      <w:pPr>
        <w:pStyle w:val="Normalny1"/>
        <w:jc w:val="both"/>
        <w:rPr>
          <w:rFonts w:eastAsia="Bookman Old Style"/>
          <w:sz w:val="22"/>
          <w:szCs w:val="22"/>
        </w:rPr>
      </w:pPr>
      <w:r>
        <w:rPr>
          <w:rFonts w:eastAsia="Bookman Old Style"/>
          <w:sz w:val="22"/>
          <w:szCs w:val="22"/>
        </w:rPr>
        <w:t>zwanym dalej „wykonawcą”, w imieniu którego występują:</w:t>
      </w:r>
    </w:p>
    <w:p>
      <w:pPr>
        <w:pStyle w:val="Normalny1"/>
        <w:jc w:val="both"/>
        <w:rPr>
          <w:rFonts w:eastAsia="Bookman Old Style"/>
          <w:sz w:val="22"/>
          <w:szCs w:val="22"/>
        </w:rPr>
      </w:pPr>
      <w:r>
        <w:rPr>
          <w:rFonts w:eastAsia="Bookman Old Style"/>
          <w:sz w:val="22"/>
          <w:szCs w:val="22"/>
        </w:rPr>
        <w:t>………………………………………………………………………</w:t>
      </w:r>
    </w:p>
    <w:p>
      <w:pPr>
        <w:pStyle w:val="Normalny1"/>
        <w:jc w:val="both"/>
        <w:rPr>
          <w:rFonts w:eastAsia="Bookman Old Style"/>
          <w:sz w:val="16"/>
          <w:szCs w:val="16"/>
        </w:rPr>
      </w:pPr>
      <w:r>
        <w:rPr>
          <w:rFonts w:eastAsia="Bookman Old Style"/>
          <w:sz w:val="16"/>
          <w:szCs w:val="16"/>
        </w:rPr>
      </w:r>
    </w:p>
    <w:p>
      <w:pPr>
        <w:pStyle w:val="Normalny1"/>
        <w:jc w:val="both"/>
        <w:rPr>
          <w:b/>
          <w:sz w:val="22"/>
          <w:szCs w:val="22"/>
        </w:rPr>
      </w:pPr>
      <w:r>
        <w:rPr>
          <w:b/>
          <w:sz w:val="22"/>
          <w:szCs w:val="22"/>
        </w:rPr>
        <w:t>Strony umowy zobowiązane są współdziałać przy wykonaniu umowy w celu należytej realizacji zamówienia.</w:t>
      </w:r>
    </w:p>
    <w:p>
      <w:pPr>
        <w:pStyle w:val="Normalny1"/>
        <w:rPr>
          <w:rFonts w:eastAsia="Bookman Old Style"/>
          <w:bCs/>
          <w:sz w:val="16"/>
          <w:szCs w:val="16"/>
        </w:rPr>
      </w:pPr>
      <w:r>
        <w:rPr>
          <w:rFonts w:eastAsia="Bookman Old Style"/>
          <w:bCs/>
          <w:sz w:val="16"/>
          <w:szCs w:val="16"/>
        </w:rPr>
      </w:r>
    </w:p>
    <w:p>
      <w:pPr>
        <w:pStyle w:val="Normalny1"/>
        <w:jc w:val="center"/>
        <w:rPr>
          <w:rFonts w:eastAsia="Bookman Old Style"/>
          <w:b/>
          <w:bCs/>
          <w:sz w:val="22"/>
          <w:szCs w:val="22"/>
        </w:rPr>
      </w:pPr>
      <w:r>
        <w:rPr>
          <w:rFonts w:eastAsia="Bookman Old Style"/>
          <w:b/>
          <w:bCs/>
          <w:sz w:val="22"/>
          <w:szCs w:val="22"/>
        </w:rPr>
        <w:t>§ 1.</w:t>
      </w:r>
    </w:p>
    <w:p>
      <w:pPr>
        <w:pStyle w:val="Normalny1"/>
        <w:jc w:val="center"/>
        <w:rPr>
          <w:rFonts w:eastAsia="Bookman Old Style"/>
          <w:b/>
          <w:bCs/>
          <w:sz w:val="22"/>
          <w:szCs w:val="22"/>
        </w:rPr>
      </w:pPr>
      <w:r>
        <w:rPr>
          <w:rFonts w:eastAsia="Bookman Old Style"/>
          <w:b/>
          <w:bCs/>
          <w:sz w:val="22"/>
          <w:szCs w:val="22"/>
        </w:rPr>
        <w:t xml:space="preserve">Przedmiot zamówienia i termin wykonania </w:t>
      </w:r>
    </w:p>
    <w:p>
      <w:pPr>
        <w:pStyle w:val="Normal"/>
        <w:ind w:left="357"/>
        <w:jc w:val="both"/>
        <w:rPr>
          <w:rFonts w:eastAsia="Bookman Old Style"/>
          <w:sz w:val="22"/>
          <w:szCs w:val="22"/>
        </w:rPr>
      </w:pPr>
      <w:r>
        <w:rPr>
          <w:rFonts w:eastAsia="Bookman Old Style"/>
          <w:sz w:val="22"/>
          <w:szCs w:val="22"/>
        </w:rPr>
      </w:r>
    </w:p>
    <w:p>
      <w:pPr>
        <w:pStyle w:val="Normal"/>
        <w:numPr>
          <w:ilvl w:val="0"/>
          <w:numId w:val="16"/>
        </w:numPr>
        <w:tabs>
          <w:tab w:val="clear" w:pos="709"/>
          <w:tab w:val="left" w:pos="360" w:leader="none"/>
        </w:tabs>
        <w:ind w:hanging="357" w:left="357"/>
        <w:jc w:val="both"/>
        <w:rPr>
          <w:sz w:val="22"/>
          <w:szCs w:val="22"/>
        </w:rPr>
      </w:pPr>
      <w:r>
        <w:rPr>
          <w:rFonts w:eastAsia="Bookman Old Style"/>
          <w:sz w:val="22"/>
          <w:szCs w:val="22"/>
        </w:rPr>
        <w:t xml:space="preserve">Nazwa zamówienia: </w:t>
      </w:r>
      <w:r>
        <w:rPr>
          <w:rFonts w:eastAsia="Bookman Old Style" w:cs="Cambria" w:ascii="Cambria" w:hAnsi="Cambria"/>
          <w:b/>
          <w:bCs/>
          <w:color w:val="729FCF"/>
          <w:sz w:val="28"/>
          <w:szCs w:val="28"/>
        </w:rPr>
        <w:t xml:space="preserve">rozbudowa i przebudowa istniejącego </w:t>
      </w:r>
      <w:r>
        <w:rPr>
          <w:rFonts w:eastAsia="Bookman Old Style" w:cs="Cambria" w:ascii="Cambria" w:hAnsi="Cambria"/>
          <w:b/>
          <w:color w:val="5B9BD5"/>
          <w:sz w:val="28"/>
          <w:szCs w:val="28"/>
        </w:rPr>
        <w:t>parkingu wraz z oświetleniem na terenie działek nr.ewid.gr. 3647/4; 3648/3; 980/1; 981/5; 985/14; 1425/6; 1426/13; 1426/15; 1427 oraz części działki 985/2 położonych w obrębie ewidencyjnym Jarosław obręb 4</w:t>
      </w:r>
    </w:p>
    <w:p>
      <w:pPr>
        <w:pStyle w:val="Normal"/>
        <w:numPr>
          <w:ilvl w:val="0"/>
          <w:numId w:val="16"/>
        </w:numPr>
        <w:tabs>
          <w:tab w:val="clear" w:pos="709"/>
          <w:tab w:val="left" w:pos="360" w:leader="none"/>
        </w:tabs>
        <w:ind w:hanging="357" w:left="357"/>
        <w:jc w:val="both"/>
        <w:rPr>
          <w:sz w:val="22"/>
          <w:szCs w:val="22"/>
        </w:rPr>
      </w:pPr>
      <w:r>
        <w:rPr>
          <w:sz w:val="22"/>
          <w:szCs w:val="22"/>
        </w:rPr>
        <w:t xml:space="preserve">Przedmiotem zamówienia jest: wykonanie parkingu/miejsc postojowych zlokalizowanych </w:t>
      </w:r>
      <w:r>
        <w:rPr>
          <w:sz w:val="22"/>
          <w:szCs w:val="22"/>
        </w:rPr>
        <w:t xml:space="preserve">na działkach jak w pkt 1 wraz </w:t>
      </w:r>
      <w:r>
        <w:rPr>
          <w:sz w:val="22"/>
          <w:szCs w:val="22"/>
        </w:rPr>
        <w:t xml:space="preserve">z z odwodnieniem i oświetleniem terenu, </w:t>
      </w:r>
      <w:r>
        <w:rPr>
          <w:sz w:val="22"/>
          <w:szCs w:val="22"/>
        </w:rPr>
        <w:t>i minitoringiem</w:t>
      </w:r>
      <w:r>
        <w:rPr>
          <w:sz w:val="22"/>
          <w:szCs w:val="22"/>
        </w:rPr>
        <w:t>.</w:t>
      </w:r>
    </w:p>
    <w:p>
      <w:pPr>
        <w:pStyle w:val="Normal"/>
        <w:numPr>
          <w:ilvl w:val="0"/>
          <w:numId w:val="16"/>
        </w:numPr>
        <w:tabs>
          <w:tab w:val="clear" w:pos="709"/>
          <w:tab w:val="left" w:pos="360" w:leader="none"/>
        </w:tabs>
        <w:ind w:hanging="357" w:left="357"/>
        <w:jc w:val="both"/>
        <w:rPr>
          <w:sz w:val="22"/>
          <w:szCs w:val="22"/>
        </w:rPr>
      </w:pPr>
      <w:r>
        <w:rPr>
          <w:sz w:val="22"/>
          <w:szCs w:val="22"/>
        </w:rPr>
        <w:t xml:space="preserve">Zamówienie realizowane będzie  w trybie </w:t>
      </w:r>
      <w:r>
        <w:rPr>
          <w:sz w:val="22"/>
          <w:szCs w:val="22"/>
        </w:rPr>
        <w:t xml:space="preserve">podstawowym ustawy pzp. </w:t>
      </w:r>
    </w:p>
    <w:p>
      <w:pPr>
        <w:pStyle w:val="Normal"/>
        <w:numPr>
          <w:ilvl w:val="0"/>
          <w:numId w:val="16"/>
        </w:numPr>
        <w:tabs>
          <w:tab w:val="clear" w:pos="709"/>
          <w:tab w:val="left" w:pos="360" w:leader="none"/>
        </w:tabs>
        <w:ind w:hanging="357" w:left="357"/>
        <w:jc w:val="both"/>
        <w:rPr>
          <w:sz w:val="22"/>
          <w:szCs w:val="22"/>
        </w:rPr>
      </w:pPr>
      <w:r>
        <w:rPr>
          <w:sz w:val="22"/>
          <w:szCs w:val="22"/>
        </w:rPr>
        <w:t>Szczegółowy zakres przedmiotu zamówienia określa Specyfikacja Warunków Zamówienia (SWZ).</w:t>
      </w:r>
    </w:p>
    <w:p>
      <w:pPr>
        <w:pStyle w:val="Normal"/>
        <w:numPr>
          <w:ilvl w:val="0"/>
          <w:numId w:val="16"/>
        </w:numPr>
        <w:tabs>
          <w:tab w:val="clear" w:pos="709"/>
          <w:tab w:val="left" w:pos="360" w:leader="none"/>
        </w:tabs>
        <w:ind w:hanging="357" w:left="357"/>
        <w:jc w:val="both"/>
        <w:rPr>
          <w:sz w:val="22"/>
          <w:szCs w:val="22"/>
        </w:rPr>
      </w:pPr>
      <w:r>
        <w:rPr>
          <w:sz w:val="22"/>
          <w:szCs w:val="22"/>
          <w:lang w:eastAsia="en-US"/>
        </w:rPr>
        <w:t>Zakres zamówienia obejmuje:</w:t>
      </w:r>
    </w:p>
    <w:p>
      <w:pPr>
        <w:pStyle w:val="Normal"/>
        <w:widowControl w:val="false"/>
        <w:numPr>
          <w:ilvl w:val="0"/>
          <w:numId w:val="19"/>
        </w:numPr>
        <w:suppressAutoHyphens w:val="false"/>
        <w:spacing w:before="0" w:after="0"/>
        <w:ind w:hanging="426" w:left="783"/>
        <w:contextualSpacing/>
        <w:rPr>
          <w:sz w:val="22"/>
          <w:szCs w:val="22"/>
          <w:lang w:eastAsia="en-US"/>
        </w:rPr>
      </w:pPr>
      <w:r>
        <w:rPr>
          <w:sz w:val="22"/>
          <w:szCs w:val="22"/>
          <w:lang w:eastAsia="en-US"/>
        </w:rPr>
        <w:t xml:space="preserve">realizację robót budowlanych w zakresie objętym dokumentacją projektową, </w:t>
      </w:r>
      <w:r>
        <w:rPr>
          <w:sz w:val="22"/>
          <w:szCs w:val="22"/>
          <w:lang w:eastAsia="en-US"/>
        </w:rPr>
        <w:t xml:space="preserve">oraz przedmiarem robót </w:t>
      </w:r>
      <w:r>
        <w:rPr>
          <w:sz w:val="22"/>
          <w:szCs w:val="22"/>
          <w:lang w:eastAsia="en-US"/>
        </w:rPr>
        <w:t xml:space="preserve">w szczególności:   </w:t>
      </w:r>
    </w:p>
    <w:p>
      <w:pPr>
        <w:pStyle w:val="Normal"/>
        <w:widowControl w:val="false"/>
        <w:suppressAutoHyphens w:val="false"/>
        <w:spacing w:before="0" w:after="0"/>
        <w:ind w:hanging="426" w:left="783"/>
        <w:contextualSpacing/>
        <w:jc w:val="both"/>
        <w:rPr>
          <w:sz w:val="22"/>
          <w:szCs w:val="22"/>
          <w:lang w:eastAsia="en-US"/>
        </w:rPr>
      </w:pPr>
      <w:r>
        <w:rPr>
          <w:sz w:val="22"/>
          <w:szCs w:val="22"/>
          <w:lang w:eastAsia="en-US"/>
        </w:rPr>
        <w:t xml:space="preserve">a)    </w:t>
      </w:r>
      <w:r>
        <w:rPr>
          <w:sz w:val="22"/>
          <w:szCs w:val="22"/>
          <w:lang w:eastAsia="en-US"/>
        </w:rPr>
        <w:t>przesunięcie wiaty na śmieci</w:t>
      </w:r>
      <w:r>
        <w:rPr>
          <w:sz w:val="22"/>
          <w:szCs w:val="22"/>
          <w:lang w:eastAsia="en-US"/>
        </w:rPr>
        <w:t>,</w:t>
      </w:r>
    </w:p>
    <w:p>
      <w:pPr>
        <w:pStyle w:val="Normal"/>
        <w:widowControl w:val="false"/>
        <w:numPr>
          <w:ilvl w:val="0"/>
          <w:numId w:val="0"/>
        </w:numPr>
        <w:suppressAutoHyphens w:val="false"/>
        <w:bidi w:val="0"/>
        <w:spacing w:before="0" w:after="0"/>
        <w:ind w:hanging="0" w:left="340" w:right="0"/>
        <w:jc w:val="both"/>
        <w:rPr>
          <w:sz w:val="22"/>
          <w:szCs w:val="22"/>
          <w:lang w:eastAsia="en-US"/>
        </w:rPr>
      </w:pPr>
      <w:r>
        <w:rPr>
          <w:sz w:val="22"/>
          <w:szCs w:val="22"/>
          <w:lang w:eastAsia="en-US"/>
        </w:rPr>
        <w:t xml:space="preserve">b)    </w:t>
      </w:r>
      <w:r>
        <w:rPr>
          <w:sz w:val="22"/>
          <w:szCs w:val="22"/>
          <w:lang w:eastAsia="en-US"/>
        </w:rPr>
        <w:t>roboty ziemne,</w:t>
      </w:r>
    </w:p>
    <w:p>
      <w:pPr>
        <w:pStyle w:val="Normal"/>
        <w:widowControl w:val="false"/>
        <w:suppressAutoHyphens w:val="false"/>
        <w:ind w:hanging="426" w:left="783"/>
        <w:jc w:val="both"/>
        <w:rPr>
          <w:sz w:val="22"/>
          <w:szCs w:val="22"/>
          <w:lang w:eastAsia="en-US"/>
        </w:rPr>
      </w:pPr>
      <w:r>
        <w:rPr>
          <w:sz w:val="22"/>
          <w:szCs w:val="22"/>
          <w:lang w:eastAsia="en-US"/>
        </w:rPr>
        <w:t xml:space="preserve">c)    </w:t>
      </w:r>
      <w:r>
        <w:rPr>
          <w:sz w:val="22"/>
          <w:szCs w:val="22"/>
          <w:lang w:eastAsia="en-US"/>
        </w:rPr>
        <w:t>odwodnienie,</w:t>
      </w:r>
    </w:p>
    <w:p>
      <w:pPr>
        <w:pStyle w:val="Normal"/>
        <w:widowControl w:val="false"/>
        <w:suppressAutoHyphens w:val="false"/>
        <w:ind w:hanging="426" w:left="783"/>
        <w:jc w:val="both"/>
        <w:rPr>
          <w:sz w:val="22"/>
          <w:szCs w:val="22"/>
          <w:lang w:eastAsia="en-US"/>
        </w:rPr>
      </w:pPr>
      <w:r>
        <w:rPr>
          <w:sz w:val="22"/>
          <w:szCs w:val="22"/>
          <w:lang w:eastAsia="en-US"/>
        </w:rPr>
        <w:t xml:space="preserve">d)    </w:t>
      </w:r>
      <w:r>
        <w:rPr>
          <w:sz w:val="22"/>
          <w:szCs w:val="22"/>
          <w:lang w:eastAsia="en-US"/>
        </w:rPr>
        <w:t xml:space="preserve">konstrukcja parkingu/miejsc postojowych,                                                                                                                                                                                        </w:t>
      </w:r>
    </w:p>
    <w:p>
      <w:pPr>
        <w:pStyle w:val="Normal"/>
        <w:widowControl w:val="false"/>
        <w:numPr>
          <w:ilvl w:val="0"/>
          <w:numId w:val="0"/>
        </w:numPr>
        <w:suppressAutoHyphens w:val="false"/>
        <w:bidi w:val="0"/>
        <w:spacing w:before="0" w:after="0"/>
        <w:ind w:hanging="0" w:left="340" w:right="0"/>
        <w:jc w:val="both"/>
        <w:rPr>
          <w:sz w:val="22"/>
          <w:szCs w:val="22"/>
          <w:lang w:eastAsia="en-US"/>
        </w:rPr>
      </w:pPr>
      <w:r>
        <w:rPr>
          <w:sz w:val="22"/>
          <w:szCs w:val="22"/>
          <w:lang w:eastAsia="en-US"/>
        </w:rPr>
        <w:t xml:space="preserve">e)    </w:t>
      </w:r>
      <w:r>
        <w:rPr>
          <w:sz w:val="22"/>
          <w:szCs w:val="22"/>
          <w:lang w:eastAsia="en-US"/>
        </w:rPr>
        <w:t xml:space="preserve">nawierzchnie z kostki betonowej, </w:t>
      </w:r>
      <w:r>
        <w:rPr>
          <w:sz w:val="22"/>
          <w:szCs w:val="22"/>
          <w:lang w:eastAsia="en-US"/>
        </w:rPr>
        <w:t>oraz geokraty</w:t>
      </w:r>
    </w:p>
    <w:p>
      <w:pPr>
        <w:pStyle w:val="Normal"/>
        <w:widowControl w:val="false"/>
        <w:numPr>
          <w:ilvl w:val="0"/>
          <w:numId w:val="0"/>
        </w:numPr>
        <w:suppressAutoHyphens w:val="false"/>
        <w:bidi w:val="0"/>
        <w:spacing w:before="0" w:after="0"/>
        <w:ind w:hanging="0" w:left="283" w:right="0"/>
        <w:jc w:val="both"/>
        <w:rPr>
          <w:sz w:val="22"/>
          <w:szCs w:val="22"/>
          <w:lang w:eastAsia="en-US"/>
        </w:rPr>
      </w:pPr>
      <w:r>
        <w:rPr>
          <w:sz w:val="22"/>
          <w:szCs w:val="22"/>
          <w:lang w:eastAsia="en-US"/>
        </w:rPr>
        <w:t xml:space="preserve">2)    </w:t>
      </w:r>
      <w:r>
        <w:rPr>
          <w:sz w:val="22"/>
          <w:szCs w:val="22"/>
          <w:lang w:eastAsia="en-US"/>
        </w:rPr>
        <w:t xml:space="preserve"> wykonanie oświetlenia,</w:t>
      </w:r>
    </w:p>
    <w:p>
      <w:pPr>
        <w:pStyle w:val="Normal"/>
        <w:widowControl w:val="false"/>
        <w:suppressAutoHyphens w:val="false"/>
        <w:bidi w:val="0"/>
        <w:spacing w:before="0" w:after="0"/>
        <w:ind w:hanging="510" w:left="794" w:right="0"/>
        <w:jc w:val="both"/>
        <w:rPr>
          <w:sz w:val="22"/>
          <w:szCs w:val="22"/>
          <w:lang w:eastAsia="en-US"/>
        </w:rPr>
      </w:pPr>
      <w:r>
        <w:rPr>
          <w:sz w:val="22"/>
          <w:szCs w:val="22"/>
          <w:lang w:eastAsia="en-US"/>
        </w:rPr>
        <w:t xml:space="preserve">3)     wykonanie monitoringu </w:t>
      </w:r>
    </w:p>
    <w:p>
      <w:pPr>
        <w:pStyle w:val="Normal"/>
        <w:widowControl w:val="false"/>
        <w:numPr>
          <w:ilvl w:val="0"/>
          <w:numId w:val="0"/>
        </w:numPr>
        <w:suppressAutoHyphens w:val="false"/>
        <w:bidi w:val="0"/>
        <w:spacing w:before="0" w:after="0"/>
        <w:ind w:hanging="0" w:left="227" w:right="0"/>
        <w:jc w:val="both"/>
        <w:rPr>
          <w:sz w:val="22"/>
          <w:szCs w:val="22"/>
          <w:lang w:eastAsia="en-US"/>
        </w:rPr>
      </w:pPr>
      <w:r>
        <w:rPr>
          <w:sz w:val="22"/>
          <w:szCs w:val="22"/>
          <w:lang w:eastAsia="en-US"/>
        </w:rPr>
        <w:t xml:space="preserve"> </w:t>
      </w:r>
      <w:r>
        <w:rPr>
          <w:sz w:val="22"/>
          <w:szCs w:val="22"/>
          <w:lang w:eastAsia="en-US"/>
        </w:rPr>
        <w:t xml:space="preserve">4)     </w:t>
      </w:r>
      <w:r>
        <w:rPr>
          <w:sz w:val="22"/>
          <w:szCs w:val="22"/>
          <w:lang w:eastAsia="en-US"/>
        </w:rPr>
        <w:t>wykonanie nawierzchni zielonych</w:t>
      </w:r>
    </w:p>
    <w:p>
      <w:pPr>
        <w:pStyle w:val="Normal"/>
        <w:widowControl w:val="false"/>
        <w:suppressAutoHyphens w:val="false"/>
        <w:bidi w:val="0"/>
        <w:spacing w:before="0" w:after="0"/>
        <w:ind w:hanging="510" w:left="794" w:right="0"/>
        <w:jc w:val="both"/>
        <w:rPr>
          <w:sz w:val="22"/>
          <w:szCs w:val="22"/>
          <w:lang w:eastAsia="en-US"/>
        </w:rPr>
      </w:pPr>
      <w:r>
        <w:rPr>
          <w:sz w:val="22"/>
          <w:szCs w:val="22"/>
          <w:lang w:eastAsia="en-US"/>
        </w:rPr>
        <w:t xml:space="preserve">5)     </w:t>
      </w:r>
      <w:r>
        <w:rPr>
          <w:sz w:val="22"/>
          <w:szCs w:val="22"/>
          <w:lang w:eastAsia="en-US"/>
        </w:rPr>
        <w:t xml:space="preserve">wykonanie </w:t>
      </w:r>
      <w:r>
        <w:rPr>
          <w:sz w:val="22"/>
          <w:szCs w:val="22"/>
          <w:lang w:eastAsia="en-US"/>
        </w:rPr>
        <w:t xml:space="preserve">odcinka drogi wewnętrznej </w:t>
      </w:r>
      <w:r>
        <w:rPr>
          <w:sz w:val="22"/>
          <w:szCs w:val="22"/>
          <w:lang w:eastAsia="en-US"/>
        </w:rPr>
        <w:t xml:space="preserve">     </w:t>
      </w:r>
    </w:p>
    <w:p>
      <w:pPr>
        <w:pStyle w:val="Normal"/>
        <w:widowControl w:val="false"/>
        <w:numPr>
          <w:ilvl w:val="0"/>
          <w:numId w:val="0"/>
        </w:numPr>
        <w:suppressAutoHyphens w:val="false"/>
        <w:spacing w:before="0" w:after="0"/>
        <w:ind w:hanging="0" w:left="783"/>
        <w:contextualSpacing/>
        <w:jc w:val="both"/>
        <w:rPr>
          <w:sz w:val="22"/>
          <w:szCs w:val="22"/>
          <w:lang w:eastAsia="en-US"/>
        </w:rPr>
      </w:pPr>
      <w:r>
        <w:rPr/>
      </w:r>
    </w:p>
    <w:p>
      <w:pPr>
        <w:pStyle w:val="ListParagraph"/>
        <w:widowControl w:val="false"/>
        <w:suppressAutoHyphens w:val="false"/>
        <w:bidi w:val="0"/>
        <w:spacing w:before="0" w:after="0"/>
        <w:ind w:hanging="454" w:left="737" w:right="0"/>
        <w:contextualSpacing/>
        <w:jc w:val="both"/>
        <w:rPr>
          <w:sz w:val="22"/>
          <w:szCs w:val="22"/>
          <w:lang w:eastAsia="en-US"/>
        </w:rPr>
      </w:pPr>
      <w:r>
        <w:rPr>
          <w:bCs/>
          <w:sz w:val="22"/>
          <w:szCs w:val="22"/>
          <w:lang w:eastAsia="pl-PL"/>
        </w:rPr>
        <w:t xml:space="preserve">6)     </w:t>
      </w:r>
      <w:r>
        <w:rPr>
          <w:bCs/>
          <w:sz w:val="22"/>
          <w:szCs w:val="22"/>
          <w:lang w:eastAsia="pl-PL"/>
        </w:rPr>
        <w:t>sporządzenie inwentaryzacji powykonawczej.</w:t>
      </w:r>
    </w:p>
    <w:p>
      <w:pPr>
        <w:pStyle w:val="Normal"/>
        <w:widowControl w:val="false"/>
        <w:suppressAutoHyphens w:val="false"/>
        <w:bidi w:val="0"/>
        <w:spacing w:before="0" w:after="0"/>
        <w:ind w:hanging="510" w:left="737" w:right="0"/>
        <w:contextualSpacing/>
        <w:jc w:val="both"/>
        <w:rPr>
          <w:sz w:val="22"/>
          <w:szCs w:val="22"/>
          <w:lang w:eastAsia="en-US"/>
        </w:rPr>
      </w:pPr>
      <w:r>
        <w:rPr>
          <w:bCs/>
          <w:sz w:val="22"/>
          <w:szCs w:val="22"/>
          <w:lang w:eastAsia="pl-PL"/>
        </w:rPr>
        <w:t xml:space="preserve"> </w:t>
      </w:r>
      <w:r>
        <w:rPr>
          <w:bCs/>
          <w:sz w:val="22"/>
          <w:szCs w:val="22"/>
          <w:lang w:eastAsia="pl-PL"/>
        </w:rPr>
        <w:t xml:space="preserve">7)    </w:t>
      </w:r>
      <w:r>
        <w:rPr>
          <w:bCs/>
          <w:sz w:val="22"/>
          <w:szCs w:val="22"/>
          <w:lang w:eastAsia="pl-PL"/>
        </w:rPr>
        <w:t>uzyskanie pozwoleń na użytkowanie/z</w:t>
      </w:r>
      <w:r>
        <w:rPr>
          <w:sz w:val="22"/>
          <w:szCs w:val="22"/>
          <w:lang w:eastAsia="en-US"/>
        </w:rPr>
        <w:t>aświadczeń o potwierdzeniu przyjęcia przez właściwe organa nadzoru bez sprzeciwu zawiadomienia o zakończeniu budowy</w:t>
      </w:r>
      <w:r>
        <w:rPr>
          <w:color w:val="FF0000"/>
          <w:sz w:val="22"/>
          <w:szCs w:val="22"/>
          <w:lang w:eastAsia="en-US"/>
        </w:rPr>
        <w:t xml:space="preserve"> </w:t>
      </w:r>
      <w:r>
        <w:rPr>
          <w:sz w:val="22"/>
          <w:szCs w:val="22"/>
          <w:lang w:eastAsia="en-US"/>
        </w:rPr>
        <w:t>–</w:t>
      </w:r>
      <w:r>
        <w:rPr>
          <w:strike/>
          <w:sz w:val="22"/>
          <w:szCs w:val="22"/>
          <w:lang w:eastAsia="en-US"/>
        </w:rPr>
        <w:t xml:space="preserve"> </w:t>
      </w:r>
      <w:r>
        <w:rPr>
          <w:sz w:val="22"/>
          <w:szCs w:val="22"/>
          <w:lang w:eastAsia="en-US"/>
        </w:rPr>
        <w:t>o ile są  niezbędne do użytkowania.</w:t>
      </w:r>
    </w:p>
    <w:p>
      <w:pPr>
        <w:pStyle w:val="Normal"/>
        <w:numPr>
          <w:ilvl w:val="0"/>
          <w:numId w:val="16"/>
        </w:numPr>
        <w:tabs>
          <w:tab w:val="clear" w:pos="709"/>
          <w:tab w:val="left" w:pos="360" w:leader="none"/>
        </w:tabs>
        <w:ind w:hanging="357" w:left="357"/>
        <w:jc w:val="both"/>
        <w:rPr>
          <w:sz w:val="22"/>
          <w:szCs w:val="22"/>
        </w:rPr>
      </w:pPr>
      <w:r>
        <w:rPr>
          <w:sz w:val="22"/>
          <w:szCs w:val="22"/>
          <w:u w:val="single"/>
        </w:rPr>
        <w:t>W ramach niniejszego zadania Wykonawca winien uwzględnić prace oraz koszty niezbędne do ich wykonania tj.</w:t>
      </w:r>
    </w:p>
    <w:p>
      <w:pPr>
        <w:pStyle w:val="ListParagraph"/>
        <w:numPr>
          <w:ilvl w:val="0"/>
          <w:numId w:val="20"/>
        </w:numPr>
        <w:ind w:hanging="397" w:left="397"/>
        <w:jc w:val="both"/>
        <w:rPr>
          <w:sz w:val="22"/>
          <w:szCs w:val="22"/>
        </w:rPr>
      </w:pPr>
      <w:r>
        <w:rPr>
          <w:sz w:val="22"/>
          <w:szCs w:val="22"/>
        </w:rPr>
        <w:t xml:space="preserve">zgłoszenie rozpoczecia prac , </w:t>
      </w:r>
      <w:r>
        <w:rPr>
          <w:sz w:val="22"/>
          <w:szCs w:val="22"/>
        </w:rPr>
        <w:t>dostarczenie, wdrożenie i utrzymanie oznakowania na czas budowy;</w:t>
      </w:r>
    </w:p>
    <w:p>
      <w:pPr>
        <w:pStyle w:val="ListParagraph"/>
        <w:numPr>
          <w:ilvl w:val="0"/>
          <w:numId w:val="20"/>
        </w:numPr>
        <w:ind w:hanging="397" w:left="397"/>
        <w:jc w:val="both"/>
        <w:rPr>
          <w:sz w:val="22"/>
          <w:szCs w:val="22"/>
        </w:rPr>
      </w:pPr>
      <w:r>
        <w:rPr>
          <w:sz w:val="22"/>
          <w:szCs w:val="22"/>
        </w:rPr>
        <w:t xml:space="preserve">urządzenie, utrzymanie i zabezpieczenie terenu budowy wraz z zapleczem budowy; </w:t>
      </w:r>
    </w:p>
    <w:p>
      <w:pPr>
        <w:pStyle w:val="ListParagraph"/>
        <w:numPr>
          <w:ilvl w:val="0"/>
          <w:numId w:val="20"/>
        </w:numPr>
        <w:ind w:hanging="397" w:left="397"/>
        <w:jc w:val="both"/>
        <w:rPr>
          <w:sz w:val="22"/>
          <w:szCs w:val="22"/>
        </w:rPr>
      </w:pPr>
      <w:r>
        <w:rPr>
          <w:sz w:val="22"/>
          <w:szCs w:val="22"/>
        </w:rPr>
        <w:t>koszty doprowadzenia i zużycia energii i wody oraz innych niezbędnych mediów dla potrzeb technologicznych, zaplecza i terenu budowy;</w:t>
      </w:r>
    </w:p>
    <w:p>
      <w:pPr>
        <w:pStyle w:val="ListParagraph"/>
        <w:numPr>
          <w:ilvl w:val="0"/>
          <w:numId w:val="20"/>
        </w:numPr>
        <w:ind w:hanging="397" w:left="397"/>
        <w:jc w:val="both"/>
        <w:rPr>
          <w:sz w:val="22"/>
          <w:szCs w:val="22"/>
        </w:rPr>
      </w:pPr>
      <w:r>
        <w:rPr>
          <w:sz w:val="22"/>
          <w:szCs w:val="22"/>
        </w:rPr>
        <w:t xml:space="preserve">koszt utrzymania w należytym porządku dróg dojazdowych na teren budowy, ze szczególnym uwzględnieniem utrzymania czystości na odcinkach związanych z transportem budowy w szczególności zapobieganie wnoszeniu błota na kołach samochodów wyjeżdżających z budowy, </w:t>
      </w:r>
    </w:p>
    <w:p>
      <w:pPr>
        <w:pStyle w:val="ListParagraph"/>
        <w:numPr>
          <w:ilvl w:val="0"/>
          <w:numId w:val="20"/>
        </w:numPr>
        <w:ind w:hanging="397" w:left="397"/>
        <w:jc w:val="both"/>
        <w:rPr>
          <w:sz w:val="22"/>
          <w:szCs w:val="22"/>
        </w:rPr>
      </w:pPr>
      <w:r>
        <w:rPr>
          <w:sz w:val="22"/>
          <w:szCs w:val="22"/>
        </w:rPr>
        <w:t>zapewnienie dozoru, a także właściwych warunków bezpieczeństwa i higieny pracy;</w:t>
      </w:r>
    </w:p>
    <w:p>
      <w:pPr>
        <w:pStyle w:val="ListParagraph"/>
        <w:numPr>
          <w:ilvl w:val="0"/>
          <w:numId w:val="20"/>
        </w:numPr>
        <w:ind w:hanging="397" w:left="397"/>
        <w:jc w:val="both"/>
        <w:rPr>
          <w:sz w:val="22"/>
          <w:szCs w:val="22"/>
        </w:rPr>
      </w:pPr>
      <w:r>
        <w:rPr>
          <w:sz w:val="22"/>
          <w:szCs w:val="22"/>
        </w:rPr>
        <w:t>ewentualne koszty związane z wyłączeniami prądu i innych mediów;</w:t>
      </w:r>
    </w:p>
    <w:p>
      <w:pPr>
        <w:pStyle w:val="ListParagraph"/>
        <w:numPr>
          <w:ilvl w:val="0"/>
          <w:numId w:val="20"/>
        </w:numPr>
        <w:ind w:hanging="397" w:left="397"/>
        <w:jc w:val="both"/>
        <w:rPr>
          <w:sz w:val="22"/>
          <w:szCs w:val="22"/>
        </w:rPr>
      </w:pPr>
      <w:r>
        <w:rPr>
          <w:sz w:val="22"/>
          <w:szCs w:val="22"/>
        </w:rPr>
        <w:t>zorganizowanie i przeprowadzenie niezbędnych prób, badań i odbiorów oraz ewentualnego uzupełnienia dokumentacji odbiorowej dla zakresu robót objętych umową, jak również dokonywania odkrywek w przypadku nie zgłoszenia do odbioru robót zanikających lub ulegających zakryciu;</w:t>
      </w:r>
    </w:p>
    <w:p>
      <w:pPr>
        <w:pStyle w:val="ListParagraph"/>
        <w:numPr>
          <w:ilvl w:val="0"/>
          <w:numId w:val="20"/>
        </w:numPr>
        <w:ind w:hanging="397" w:left="397"/>
        <w:jc w:val="both"/>
        <w:rPr>
          <w:sz w:val="22"/>
          <w:szCs w:val="22"/>
        </w:rPr>
      </w:pPr>
      <w:r>
        <w:rPr>
          <w:sz w:val="22"/>
          <w:szCs w:val="22"/>
        </w:rPr>
        <w:t xml:space="preserve">demontaż obiektów i urządzeń tymczasowych budowy, uporządkowanie terenu budowy po zakończeniu robót i przekazanie uporządkowanego terenu Zamawiającemu najpóźniej w dniu odbioru; </w:t>
      </w:r>
    </w:p>
    <w:p>
      <w:pPr>
        <w:pStyle w:val="ListParagraph"/>
        <w:numPr>
          <w:ilvl w:val="0"/>
          <w:numId w:val="20"/>
        </w:numPr>
        <w:ind w:hanging="397" w:left="397"/>
        <w:jc w:val="both"/>
        <w:rPr>
          <w:sz w:val="22"/>
          <w:szCs w:val="22"/>
          <w:u w:val="single"/>
        </w:rPr>
      </w:pPr>
      <w:r>
        <w:rPr>
          <w:sz w:val="22"/>
          <w:szCs w:val="22"/>
        </w:rPr>
        <w:t>usunięcie poza teren budowy na koszt wykonawcy ze szczególnym zachowaniem   przepisów ustawy o odpadach materiałów z rozbiórki oraz nadmiaru mas ziemnych;</w:t>
      </w:r>
    </w:p>
    <w:p>
      <w:pPr>
        <w:pStyle w:val="ListParagraph"/>
        <w:numPr>
          <w:ilvl w:val="0"/>
          <w:numId w:val="20"/>
        </w:numPr>
        <w:ind w:hanging="397" w:left="397"/>
        <w:jc w:val="both"/>
        <w:rPr>
          <w:sz w:val="22"/>
          <w:szCs w:val="22"/>
        </w:rPr>
      </w:pPr>
      <w:r>
        <w:rPr/>
      </w:r>
    </w:p>
    <w:p>
      <w:pPr>
        <w:pStyle w:val="ListParagraph"/>
        <w:numPr>
          <w:ilvl w:val="0"/>
          <w:numId w:val="20"/>
        </w:numPr>
        <w:ind w:hanging="567" w:left="567"/>
        <w:jc w:val="both"/>
        <w:rPr>
          <w:sz w:val="22"/>
          <w:szCs w:val="22"/>
        </w:rPr>
      </w:pPr>
      <w:r>
        <w:rPr>
          <w:sz w:val="22"/>
          <w:szCs w:val="22"/>
        </w:rPr>
        <w:t>koszt przeprowadzenia inspekcji wszystkich wykonanych kanałów kamerą inspekcyjną;</w:t>
      </w:r>
    </w:p>
    <w:p>
      <w:pPr>
        <w:pStyle w:val="ListParagraph"/>
        <w:numPr>
          <w:ilvl w:val="0"/>
          <w:numId w:val="20"/>
        </w:numPr>
        <w:ind w:hanging="567" w:left="567"/>
        <w:jc w:val="both"/>
        <w:rPr>
          <w:sz w:val="22"/>
          <w:szCs w:val="22"/>
        </w:rPr>
      </w:pPr>
      <w:r>
        <w:rPr>
          <w:sz w:val="22"/>
          <w:szCs w:val="22"/>
        </w:rPr>
        <w:t>koszt wykonania dokumentacji powykonawczej w 2 egzemplarzach (jeżeli będzie wymagana) oraz opracowanie operatu kolaudacyjnego w 2 egzemplarzach zawierającego m.in.: sprawozdanie techniczne, receptury i ustalenia technologiczne, wyniki badań kontrolnych oraz badań i oznaczeń laboratoryjnych, atesty jakościowe, aprobaty techniczne, gwarancje na wbudowane urządzenia, dziennik budowy, obmiar powykonawczy wykonanych robót (z uwzględnieniem elementów wykazanych w zestawieniu wartościowym zadania), oświadczenia, inne dokumenty wynikające z ustawy Prawo Budowlane art. 57;</w:t>
      </w:r>
    </w:p>
    <w:p>
      <w:pPr>
        <w:pStyle w:val="ListParagraph"/>
        <w:numPr>
          <w:ilvl w:val="0"/>
          <w:numId w:val="20"/>
        </w:numPr>
        <w:ind w:hanging="567" w:left="567"/>
        <w:jc w:val="both"/>
        <w:rPr>
          <w:sz w:val="22"/>
          <w:szCs w:val="22"/>
        </w:rPr>
      </w:pPr>
      <w:r>
        <w:rPr>
          <w:sz w:val="22"/>
          <w:szCs w:val="22"/>
          <w:lang w:eastAsia="pl-PL"/>
        </w:rPr>
        <w:t xml:space="preserve">koszt wykonania w 3 egzemplarzach powykonawczej inwentaryzacji geodezyjnej wykonanych robót </w:t>
      </w:r>
      <w:r>
        <w:rPr>
          <w:sz w:val="22"/>
          <w:szCs w:val="22"/>
        </w:rPr>
        <w:t xml:space="preserve">zatwierdzonej przez odpowiedni Urząd Geodezji i Kartografii (w tym  w wersji analogowej i numerycznej w plikach dwg </w:t>
      </w:r>
      <w:r>
        <w:rPr>
          <w:sz w:val="22"/>
          <w:szCs w:val="22"/>
          <w:lang w:eastAsia="pl-PL"/>
        </w:rPr>
        <w:t>wraz ze szkicami geodezyjnymi;</w:t>
      </w:r>
    </w:p>
    <w:p>
      <w:pPr>
        <w:pStyle w:val="ListParagraph"/>
        <w:numPr>
          <w:ilvl w:val="0"/>
          <w:numId w:val="20"/>
        </w:numPr>
        <w:ind w:hanging="567" w:left="567"/>
        <w:jc w:val="both"/>
        <w:rPr>
          <w:sz w:val="22"/>
          <w:szCs w:val="22"/>
        </w:rPr>
      </w:pPr>
      <w:r>
        <w:rPr>
          <w:sz w:val="22"/>
          <w:szCs w:val="22"/>
        </w:rPr>
        <w:t>opracowania i czynności, które Wykonawca wykona we własnym zakresie: plan bezpieczeństwa i ochrony zdrowia (BIOZ), pozostałe niezbędne opracowania wynikające z obowiązujących przepisów, wydanych decyzji administracyjnych oraz przyjętych technologii wykonywania robót.</w:t>
      </w:r>
    </w:p>
    <w:p>
      <w:pPr>
        <w:pStyle w:val="Normal"/>
        <w:numPr>
          <w:ilvl w:val="0"/>
          <w:numId w:val="16"/>
        </w:numPr>
        <w:tabs>
          <w:tab w:val="clear" w:pos="709"/>
          <w:tab w:val="left" w:pos="360" w:leader="none"/>
        </w:tabs>
        <w:ind w:hanging="357" w:left="357"/>
        <w:jc w:val="both"/>
        <w:rPr>
          <w:sz w:val="22"/>
          <w:szCs w:val="22"/>
        </w:rPr>
      </w:pPr>
      <w:r>
        <w:rPr>
          <w:sz w:val="22"/>
          <w:szCs w:val="22"/>
        </w:rPr>
        <w:t xml:space="preserve">Termin zakończenia zadania nastąpi w terminie nie dłuższym </w:t>
      </w:r>
      <w:r>
        <w:rPr>
          <w:b/>
          <w:sz w:val="22"/>
          <w:szCs w:val="22"/>
        </w:rPr>
        <w:t>niż 105 dni</w:t>
      </w:r>
      <w:r>
        <w:rPr>
          <w:sz w:val="22"/>
          <w:szCs w:val="22"/>
        </w:rPr>
        <w:t xml:space="preserve"> od dnia podpisania umowy.</w:t>
      </w:r>
    </w:p>
    <w:p>
      <w:pPr>
        <w:pStyle w:val="Normal"/>
        <w:numPr>
          <w:ilvl w:val="0"/>
          <w:numId w:val="16"/>
        </w:numPr>
        <w:tabs>
          <w:tab w:val="clear" w:pos="709"/>
          <w:tab w:val="left" w:pos="360" w:leader="none"/>
        </w:tabs>
        <w:ind w:hanging="357" w:left="357"/>
        <w:jc w:val="both"/>
        <w:rPr>
          <w:sz w:val="22"/>
          <w:szCs w:val="22"/>
        </w:rPr>
      </w:pPr>
      <w:r>
        <w:rPr>
          <w:sz w:val="22"/>
          <w:szCs w:val="22"/>
          <w:lang w:eastAsia="pl-PL"/>
        </w:rPr>
        <w:t xml:space="preserve">Szczegółowo terminy realizacji, zakresy rzeczowe, wartości poszczególnych etapów określa harmonogram rzeczowo – finansowy stanowiący </w:t>
      </w:r>
      <w:r>
        <w:rPr>
          <w:b/>
          <w:bCs/>
          <w:sz w:val="22"/>
          <w:szCs w:val="22"/>
          <w:lang w:eastAsia="pl-PL"/>
        </w:rPr>
        <w:t>załącznik nr 1</w:t>
      </w:r>
      <w:r>
        <w:rPr>
          <w:sz w:val="22"/>
          <w:szCs w:val="22"/>
          <w:lang w:eastAsia="pl-PL"/>
        </w:rPr>
        <w:t xml:space="preserve"> do niniejszej umowy.</w:t>
      </w:r>
    </w:p>
    <w:p>
      <w:pPr>
        <w:pStyle w:val="Normal"/>
        <w:numPr>
          <w:ilvl w:val="0"/>
          <w:numId w:val="16"/>
        </w:numPr>
        <w:tabs>
          <w:tab w:val="clear" w:pos="709"/>
          <w:tab w:val="left" w:pos="360" w:leader="none"/>
        </w:tabs>
        <w:ind w:hanging="357" w:left="357"/>
        <w:jc w:val="both"/>
        <w:rPr>
          <w:sz w:val="22"/>
          <w:szCs w:val="22"/>
        </w:rPr>
      </w:pPr>
      <w:r>
        <w:rPr>
          <w:sz w:val="22"/>
          <w:szCs w:val="22"/>
          <w:lang w:eastAsia="pl-PL"/>
        </w:rPr>
        <w:t>Za termin wykonania zamówienia uznaje się dzień podpisania protokołu końcowego przedmiotu umowy.</w:t>
      </w:r>
    </w:p>
    <w:p>
      <w:pPr>
        <w:pStyle w:val="Normal"/>
        <w:numPr>
          <w:ilvl w:val="0"/>
          <w:numId w:val="16"/>
        </w:numPr>
        <w:tabs>
          <w:tab w:val="clear" w:pos="709"/>
          <w:tab w:val="left" w:pos="360" w:leader="none"/>
        </w:tabs>
        <w:ind w:hanging="357" w:left="357"/>
        <w:jc w:val="both"/>
        <w:rPr>
          <w:rStyle w:val="Emphasis"/>
          <w:i w:val="false"/>
          <w:i w:val="false"/>
          <w:iCs w:val="false"/>
        </w:rPr>
      </w:pPr>
      <w:r>
        <w:rPr>
          <w:rStyle w:val="Emphasis"/>
          <w:rFonts w:eastAsia="Calibri"/>
          <w:i w:val="false"/>
          <w:iCs w:val="false"/>
          <w:sz w:val="22"/>
          <w:szCs w:val="22"/>
        </w:rPr>
        <w:t>Wykonawca zobowiązuje się, że wykonując umowę będzie przestrzegał przepisów ustawy z dnia                    19 lipca 2019 r. – o zapewnieniu dostępności osobom ze szczególnymi potrzebami.</w:t>
      </w:r>
    </w:p>
    <w:p>
      <w:pPr>
        <w:pStyle w:val="Normal"/>
        <w:numPr>
          <w:ilvl w:val="0"/>
          <w:numId w:val="16"/>
        </w:numPr>
        <w:tabs>
          <w:tab w:val="clear" w:pos="709"/>
          <w:tab w:val="left" w:pos="360" w:leader="none"/>
          <w:tab w:val="left" w:pos="426" w:leader="none"/>
        </w:tabs>
        <w:ind w:hanging="357" w:left="357"/>
        <w:jc w:val="both"/>
        <w:rPr/>
      </w:pPr>
      <w:r>
        <w:rPr>
          <w:sz w:val="22"/>
          <w:szCs w:val="22"/>
        </w:rPr>
        <w:t xml:space="preserve">Przedmiot zamówienia musi być wykonany zgodnie z obowiązującymi przepisami prawa, a także zgodnie z najlepszą wiedzą i praktyką zawodową, standardami projektowania i budowy oraz </w:t>
        <w:br/>
        <w:t>z zachowaniem najwyższej staranności.,</w:t>
      </w:r>
    </w:p>
    <w:p>
      <w:pPr>
        <w:pStyle w:val="Normal"/>
        <w:numPr>
          <w:ilvl w:val="0"/>
          <w:numId w:val="0"/>
        </w:numPr>
        <w:tabs>
          <w:tab w:val="clear" w:pos="709"/>
          <w:tab w:val="left" w:pos="360" w:leader="none"/>
          <w:tab w:val="left" w:pos="426" w:leader="none"/>
        </w:tabs>
        <w:ind w:hanging="0" w:left="357"/>
        <w:jc w:val="both"/>
        <w:rPr>
          <w:sz w:val="22"/>
          <w:szCs w:val="22"/>
        </w:rPr>
      </w:pPr>
      <w:r>
        <w:rPr/>
      </w:r>
    </w:p>
    <w:p>
      <w:pPr>
        <w:pStyle w:val="Normalny1"/>
        <w:ind w:hanging="360" w:left="360"/>
        <w:jc w:val="center"/>
        <w:rPr>
          <w:sz w:val="16"/>
          <w:szCs w:val="16"/>
        </w:rPr>
      </w:pPr>
      <w:r>
        <w:rPr>
          <w:sz w:val="16"/>
          <w:szCs w:val="16"/>
        </w:rPr>
      </w:r>
    </w:p>
    <w:p>
      <w:pPr>
        <w:pStyle w:val="Normalny1"/>
        <w:ind w:hanging="360" w:left="360"/>
        <w:jc w:val="center"/>
        <w:rPr>
          <w:rFonts w:eastAsia="Bookman Old Style"/>
          <w:b/>
          <w:bCs/>
          <w:sz w:val="22"/>
          <w:szCs w:val="22"/>
        </w:rPr>
      </w:pPr>
      <w:r>
        <w:rPr>
          <w:rFonts w:eastAsia="Bookman Old Style"/>
          <w:b/>
          <w:bCs/>
          <w:sz w:val="22"/>
          <w:szCs w:val="22"/>
        </w:rPr>
        <w:t>§ 2.</w:t>
      </w:r>
    </w:p>
    <w:p>
      <w:pPr>
        <w:pStyle w:val="Normalny1"/>
        <w:jc w:val="center"/>
        <w:rPr>
          <w:rFonts w:eastAsia="Bookman Old Style"/>
          <w:b/>
          <w:bCs/>
          <w:sz w:val="22"/>
          <w:szCs w:val="22"/>
        </w:rPr>
      </w:pPr>
      <w:r>
        <w:rPr>
          <w:rFonts w:eastAsia="Bookman Old Style"/>
          <w:b/>
          <w:bCs/>
          <w:sz w:val="22"/>
          <w:szCs w:val="22"/>
        </w:rPr>
        <w:t xml:space="preserve">Warunki zapłaty wynagrodzenia </w:t>
      </w:r>
    </w:p>
    <w:p>
      <w:pPr>
        <w:pStyle w:val="Normalny1"/>
        <w:jc w:val="center"/>
        <w:rPr>
          <w:rFonts w:eastAsia="Bookman Old Style"/>
          <w:b/>
          <w:bCs/>
          <w:sz w:val="16"/>
          <w:szCs w:val="16"/>
        </w:rPr>
      </w:pPr>
      <w:r>
        <w:rPr>
          <w:rFonts w:eastAsia="Bookman Old Style"/>
          <w:b/>
          <w:bCs/>
          <w:sz w:val="16"/>
          <w:szCs w:val="16"/>
        </w:rPr>
      </w:r>
    </w:p>
    <w:p>
      <w:pPr>
        <w:pStyle w:val="Normalny2"/>
        <w:numPr>
          <w:ilvl w:val="0"/>
          <w:numId w:val="11"/>
        </w:numPr>
        <w:tabs>
          <w:tab w:val="clear" w:pos="709"/>
          <w:tab w:val="left" w:pos="0" w:leader="none"/>
        </w:tabs>
        <w:spacing w:before="280" w:after="280"/>
        <w:ind w:hanging="426" w:left="426"/>
        <w:jc w:val="both"/>
        <w:rPr>
          <w:rFonts w:eastAsia="Bookman Old Style"/>
          <w:b/>
          <w:sz w:val="22"/>
          <w:szCs w:val="22"/>
        </w:rPr>
      </w:pPr>
      <w:r>
        <w:rPr>
          <w:rFonts w:eastAsia="Bookman Old Style"/>
          <w:sz w:val="22"/>
          <w:szCs w:val="22"/>
        </w:rPr>
        <w:t xml:space="preserve">Za wykonanie przedmiotu umowy zamawiający zapłaci wykonawcy wynagrodzenie w wysokości: </w:t>
      </w:r>
      <w:r>
        <w:rPr>
          <w:rFonts w:eastAsia="Bookman Old Style"/>
          <w:b/>
          <w:sz w:val="22"/>
          <w:szCs w:val="22"/>
        </w:rPr>
        <w:t>…………… złotych brutto (słownie ………………………………………).</w:t>
      </w:r>
    </w:p>
    <w:p>
      <w:pPr>
        <w:pStyle w:val="Normalny2"/>
        <w:numPr>
          <w:ilvl w:val="0"/>
          <w:numId w:val="11"/>
        </w:numPr>
        <w:tabs>
          <w:tab w:val="clear" w:pos="709"/>
          <w:tab w:val="left" w:pos="0" w:leader="none"/>
        </w:tabs>
        <w:spacing w:before="280" w:after="280"/>
        <w:ind w:hanging="426" w:left="426"/>
        <w:jc w:val="both"/>
        <w:rPr>
          <w:rFonts w:eastAsia="Bookman Old Style"/>
          <w:b/>
          <w:sz w:val="22"/>
          <w:szCs w:val="22"/>
        </w:rPr>
      </w:pPr>
      <w:r>
        <w:rPr>
          <w:rFonts w:eastAsia="Bookman Old Style"/>
          <w:sz w:val="22"/>
          <w:szCs w:val="22"/>
        </w:rPr>
        <w:t xml:space="preserve">Wynagrodzenie określone w ust. 1 zawiera wszystkie koszty Wykonawcy związane z prawidłową realizacją robót objętych zamówieniem, w tym ryzyko Wykonawcy z tytułu prawidłowego ich oszacowania oraz innych czynników mających lub mogących mieć wpływ na koszty realizacji, w tym koszty energii, mediów oraz koszty utylizacji odpadów,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Wynagrodzenie wskazane w ust. 1 jest wynagrodzeniem ryczałtowym.</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Zamawiający przewiduje 2 płatności:</w:t>
      </w:r>
    </w:p>
    <w:p>
      <w:pPr>
        <w:pStyle w:val="Normalny2"/>
        <w:numPr>
          <w:ilvl w:val="0"/>
          <w:numId w:val="17"/>
        </w:numPr>
        <w:tabs>
          <w:tab w:val="clear" w:pos="709"/>
          <w:tab w:val="left" w:pos="0" w:leader="none"/>
        </w:tabs>
        <w:spacing w:before="280" w:after="280"/>
        <w:jc w:val="both"/>
        <w:rPr>
          <w:rFonts w:eastAsia="Bookman Old Style"/>
          <w:sz w:val="22"/>
          <w:szCs w:val="22"/>
        </w:rPr>
      </w:pPr>
      <w:r>
        <w:rPr>
          <w:rFonts w:eastAsia="Bookman Old Style"/>
          <w:sz w:val="22"/>
          <w:szCs w:val="22"/>
          <w:lang w:eastAsia="pl-PL"/>
        </w:rPr>
        <w:t xml:space="preserve">na podstawie częściowego protokołu odbioru po wykonaniu co najmniej 60% przedsięwzięcia </w:t>
      </w:r>
    </w:p>
    <w:p>
      <w:pPr>
        <w:pStyle w:val="Normalny2"/>
        <w:numPr>
          <w:ilvl w:val="0"/>
          <w:numId w:val="17"/>
        </w:numPr>
        <w:tabs>
          <w:tab w:val="clear" w:pos="709"/>
          <w:tab w:val="left" w:pos="0" w:leader="none"/>
        </w:tabs>
        <w:spacing w:before="280" w:after="280"/>
        <w:jc w:val="both"/>
        <w:rPr>
          <w:rFonts w:eastAsia="Bookman Old Style"/>
          <w:sz w:val="22"/>
          <w:szCs w:val="22"/>
        </w:rPr>
      </w:pPr>
      <w:r>
        <w:rPr>
          <w:sz w:val="22"/>
          <w:szCs w:val="22"/>
          <w:lang w:eastAsia="pl-PL"/>
        </w:rPr>
        <w:t xml:space="preserve">na podstawie końcowego protokołu odbioru po </w:t>
      </w:r>
      <w:r>
        <w:rPr>
          <w:sz w:val="22"/>
          <w:szCs w:val="22"/>
          <w:lang w:eastAsia="pl-PL"/>
        </w:rPr>
        <w:t>wykonan</w:t>
      </w:r>
      <w:r>
        <w:rPr>
          <w:sz w:val="22"/>
          <w:szCs w:val="22"/>
          <w:lang w:eastAsia="pl-PL"/>
        </w:rPr>
        <w:t>iu</w:t>
      </w:r>
      <w:r>
        <w:rPr>
          <w:sz w:val="22"/>
          <w:szCs w:val="22"/>
          <w:lang w:eastAsia="pl-PL"/>
        </w:rPr>
        <w:t xml:space="preserve">  </w:t>
      </w:r>
      <w:r>
        <w:rPr>
          <w:sz w:val="22"/>
          <w:szCs w:val="22"/>
          <w:lang w:eastAsia="pl-PL"/>
        </w:rPr>
        <w:t xml:space="preserve">wszystkich </w:t>
      </w:r>
      <w:r>
        <w:rPr>
          <w:sz w:val="22"/>
          <w:szCs w:val="22"/>
          <w:lang w:eastAsia="pl-PL"/>
        </w:rPr>
        <w:t>rob</w:t>
      </w:r>
      <w:r>
        <w:rPr>
          <w:sz w:val="22"/>
          <w:szCs w:val="22"/>
          <w:lang w:eastAsia="pl-PL"/>
        </w:rPr>
        <w:t>ó</w:t>
      </w:r>
      <w:r>
        <w:rPr>
          <w:sz w:val="22"/>
          <w:szCs w:val="22"/>
          <w:lang w:eastAsia="pl-PL"/>
        </w:rPr>
        <w:t>t budowlan</w:t>
      </w:r>
      <w:r>
        <w:rPr>
          <w:sz w:val="22"/>
          <w:szCs w:val="22"/>
          <w:lang w:eastAsia="pl-PL"/>
        </w:rPr>
        <w:t>ych</w:t>
      </w:r>
      <w:r>
        <w:rPr>
          <w:sz w:val="22"/>
          <w:szCs w:val="22"/>
          <w:lang w:eastAsia="pl-PL"/>
        </w:rPr>
        <w:t xml:space="preserve">. </w:t>
      </w:r>
    </w:p>
    <w:p>
      <w:pPr>
        <w:pStyle w:val="ListParagraph"/>
        <w:numPr>
          <w:ilvl w:val="0"/>
          <w:numId w:val="11"/>
        </w:numPr>
        <w:ind w:hanging="357" w:left="357"/>
        <w:rPr>
          <w:rFonts w:eastAsia="Times New Roman"/>
          <w:color w:val="auto"/>
          <w:sz w:val="22"/>
          <w:szCs w:val="22"/>
        </w:rPr>
      </w:pPr>
      <w:r>
        <w:rPr>
          <w:sz w:val="22"/>
          <w:szCs w:val="22"/>
        </w:rPr>
        <w:t xml:space="preserve">Płatność za realizację przedmiotu zamówienia będzie dwuetapowa i dokonana zostanie w terminie nie dłuższym niż 30 dni od daty doręczenia zamawiającemu prawidłowo wystawionej przez wykonawcę kompletnej faktury. Płatność nastąpi nie później niż do dnia 31 grudnia 2026 r. Poprawnie wystawiona faktura powinna zostać dostarczona zamawiającemu w terminie do dnia 23.12.2026 r. </w:t>
      </w:r>
      <w:r>
        <w:rPr>
          <w:rFonts w:eastAsia="Times New Roman"/>
          <w:color w:val="auto"/>
          <w:sz w:val="22"/>
          <w:szCs w:val="22"/>
        </w:rPr>
        <w:t xml:space="preserve">przy czym płatność za roboty wykonane w roku 2026 nastąpi nie później niż do 31 grudnia 2026 r.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Podstawę do wystawienia faktur stanowić będzie protokół częściowy i końcowy odbioru robót potwierdzający prawidłową i zgodną z wymaganiami zamawiającego realizację zamówienia.</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color w:val="000000"/>
          <w:sz w:val="22"/>
          <w:szCs w:val="22"/>
        </w:rPr>
        <w:t>Wynagrodzenie na podstawie faktury końcowej zostanie zapłacone po skutecznym odbiorze całości umowy i uzyskaniu ostatecznego pozwolenia na użytkowanie obiektu lub zaświadczenia o potwierdzeniu przyjęcia przez właściwe organa nadzoru bez sprzeciwu zawiadomienia o zakończeniu  budowy – o ile są wymagane przepisami prawa..</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color w:val="000000"/>
          <w:sz w:val="22"/>
          <w:szCs w:val="22"/>
        </w:rPr>
        <w:t>W przypadku stwierdzenia wad przedmiotu umowy, nieprawidłowości lub niezgodności z wymaganiami zamawiającego lub opisem przedmiotu zamówienia w protokole odbioru zostanie określony termin                   i sposób usunięcia wad. Protokół podpisują strony.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Dniem płatności jest dzień wydania przez zamawiającego polecenia zapłaty do banku, w którym prowadzony jest jego rachunek.</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Zamawiający nie będzie udzielał zaliczek na poczet wykonania zamówienia.</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Niedoszacowanie, pominięcie oraz brak rozpoznania zakresu i rozmiaru przedmiotu umowy nie może być podstawą do żądania zmiany wynagrodzenia ryczałtowego chociażby nastąpiło zwiększenia rozmiarów lub kosztów prac.</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Należności będą regulowane na rachunek nr……………………………, który jest rachunkiem prowadzonym   do celów działalności gospodarczej z otwartym rachunkiem VAT.</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 xml:space="preserve">W zakresie przedmiotu niniejszej umowy, obejmującej zamówienia na roboty budowlane, w realizacji, których uczestniczą podwykonawcy lub dalsi podwykonawcy, wykonawca zobowiązany jest do przedłożenia dowodów zapłaty tj. oświadczeń podwykonawców lub dalszych podwykonawców potwierdzających zapłatę wymagalnego wynagrodzenia przysługującego podwykonawcom i dalszym podwykonawcom biorącym udział w realizacji tych robót, którzy zawarli zaakceptowane przez zamawiającego umowy o podwykonawstwo, których przedmiotem są roboty budowlane, lub którzy zawarli przedłożone zamawiającemu umowy o podwykonawstwo, których przedmiotem są dostawy lub usługi.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Oświadczenie, o którym mowa w ust. 13 winno być przedłożone w czasie umożliwiającym terminową zapłatę wynagrodzenia dla wykonawcy przez zamawiającego tj. nie później niż na 10 dni przed terminem zapłaty.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 xml:space="preserve">Wzór oświadczenia stanowi </w:t>
      </w:r>
      <w:r>
        <w:rPr>
          <w:rFonts w:eastAsia="Bookman Old Style"/>
          <w:b/>
          <w:sz w:val="22"/>
          <w:szCs w:val="22"/>
        </w:rPr>
        <w:t>załącznik nr 2</w:t>
      </w:r>
      <w:r>
        <w:rPr>
          <w:rFonts w:eastAsia="Bookman Old Style"/>
          <w:sz w:val="22"/>
          <w:szCs w:val="22"/>
        </w:rPr>
        <w:t xml:space="preserve"> do niniejszej umowy.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Wykonawca wraz z fakturą przedłoży listę podwykonawców i dalszych podwykonawców biorących udział w realizacji odebranych robót, których dotyczy wystawiona przez wykonawcę faktura, uwzględniającą zestawienie kwot należnych podwykonawcom lub dalszym podwykonawcom.</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 xml:space="preserve">Lista podwykonawców lub dalszych podwykonawców, o których mowa w ust. 16 sporządzana będzie  na wzorze stanowiącym </w:t>
      </w:r>
      <w:r>
        <w:rPr>
          <w:b/>
          <w:sz w:val="22"/>
          <w:szCs w:val="22"/>
        </w:rPr>
        <w:t>załącznik nr 3</w:t>
      </w:r>
      <w:r>
        <w:rPr>
          <w:sz w:val="22"/>
          <w:szCs w:val="22"/>
        </w:rPr>
        <w:t xml:space="preserve"> do niniejszej umowy.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rFonts w:eastAsia="Bookman Old Style"/>
          <w:sz w:val="22"/>
          <w:szCs w:val="22"/>
        </w:rPr>
        <w:t>W przypadku nieprzedstawienia przez wykonawcę oświadczeń, o których mowa w ust. 13, wstrzymuje się wypłatę należnego wynagrodzenia za odebrane roboty budowlane, w części równej sumie kwot wynikających z nieprzedstawionych dowodów zapłaty.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 xml:space="preserve">Wynagrodzenie, o którym mowa w ust. 19,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Bezpośrednia zapłata obejmuje wyłącznie należne wynagrodzenie, bez odsetek, należnych podwykonawcy lub dalszemu podwykonawcy.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 xml:space="preserve">Zamawiający, przed dokonaniem bezpośredniej zapłaty, jest obowiązany umożliwić wykonawcy zgłoszenie, pisemnie, uwag dotyczących zasadności bezpośredniej zapłaty wynagrodzenia podwykonawcy lub dalszemu podwykonawcy.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Zamawiający informuje o terminie zgłaszania uwag nie krótszym niż 7 dni od dnia doręczenia tej informacji. W uwagach nie można powoływać się na potrącenie roszczeń wykonawcy względem podwykonawcy niezwiązanych z realizacją umowy o podwykonawstwo.</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 xml:space="preserve">W przypadku zgłoszenia uwag, o których mowa w ust. 22, w terminie wskazanym przez zamawiającego, zamawiający może: </w:t>
      </w:r>
    </w:p>
    <w:p>
      <w:pPr>
        <w:pStyle w:val="Normalny2"/>
        <w:numPr>
          <w:ilvl w:val="0"/>
          <w:numId w:val="13"/>
        </w:numPr>
        <w:tabs>
          <w:tab w:val="clear" w:pos="709"/>
          <w:tab w:val="left" w:pos="0" w:leader="none"/>
        </w:tabs>
        <w:spacing w:before="280" w:after="280"/>
        <w:ind w:hanging="284" w:left="426"/>
        <w:jc w:val="both"/>
        <w:rPr>
          <w:rFonts w:eastAsia="Bookman Old Style"/>
          <w:sz w:val="22"/>
          <w:szCs w:val="22"/>
        </w:rPr>
      </w:pPr>
      <w:r>
        <w:rPr>
          <w:sz w:val="22"/>
          <w:szCs w:val="22"/>
          <w:lang w:eastAsia="pl-PL"/>
        </w:rPr>
        <w:t xml:space="preserve">nie dokonać bezpośredniej zapłaty wynagrodzenia podwykonawcy lub dalszemu podwykonawcy, jeżeli wykonawca wykaże niezasadność takiej zapłaty albo </w:t>
      </w:r>
    </w:p>
    <w:p>
      <w:pPr>
        <w:pStyle w:val="Normalny2"/>
        <w:numPr>
          <w:ilvl w:val="0"/>
          <w:numId w:val="13"/>
        </w:numPr>
        <w:tabs>
          <w:tab w:val="clear" w:pos="709"/>
          <w:tab w:val="left" w:pos="0" w:leader="none"/>
        </w:tabs>
        <w:spacing w:before="280" w:after="280"/>
        <w:ind w:hanging="284" w:left="426"/>
        <w:jc w:val="both"/>
        <w:rPr>
          <w:rFonts w:eastAsia="Bookman Old Style"/>
          <w:sz w:val="22"/>
          <w:szCs w:val="22"/>
        </w:rPr>
      </w:pPr>
      <w:r>
        <w:rPr>
          <w:sz w:val="22"/>
          <w:szCs w:val="22"/>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pPr>
        <w:pStyle w:val="Normalny2"/>
        <w:numPr>
          <w:ilvl w:val="0"/>
          <w:numId w:val="13"/>
        </w:numPr>
        <w:tabs>
          <w:tab w:val="clear" w:pos="709"/>
          <w:tab w:val="left" w:pos="0" w:leader="none"/>
        </w:tabs>
        <w:spacing w:before="280" w:after="280"/>
        <w:ind w:hanging="284" w:left="426"/>
        <w:jc w:val="both"/>
        <w:rPr>
          <w:rFonts w:eastAsia="Bookman Old Style"/>
          <w:sz w:val="22"/>
          <w:szCs w:val="22"/>
        </w:rPr>
      </w:pPr>
      <w:r>
        <w:rPr>
          <w:sz w:val="22"/>
          <w:szCs w:val="22"/>
          <w:lang w:eastAsia="pl-PL"/>
        </w:rPr>
        <w:t>dokonać bezpośredniej zapłaty wynagrodzenia podwykonawcy lub dalszemu podwykonawcy, jeżeli podwykonawca lub dalszy podwykonawca wykaże zasadność takiej zapłaty.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 xml:space="preserve">W przypadku dokonania bezpośredniej zapłaty podwykonawcy lub dalszemu podwykonawcy albo złożenia do depozytu sądowego, o którym mowa w punkcie 2 ustępu poprzedzającego, zamawiający potrąca kwotę wypłaconego wynagrodzenia lub kwotę złożoną do depozytu z wynagrodzenia należnego wykonawcy.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Zapłata, o której mowa w ust. 22 nastąpi w terminie nie dłuższym niż 30 dni od dnia rozpatrzenia przez zamawiającego uwag wykonawcy i poinformowania go o zasadności zapłaty wynagrodzenia podwykonawcy lub dalszemu podwykonawcy.</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 xml:space="preserve">Konieczność wielokrotnego dokonywania bezpośredniej zapłaty podwykonawcy lub dalszemu podwykonawcy lub konieczność dokonania bezpośrednich zapłat na sumę większą niż 10% wartość umowy może stanowić podstawę do odstąpienia od umowy. </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lang w:eastAsia="pl-PL"/>
        </w:rPr>
        <w:t>Do zasad odpowiedzialności zamawiającego, wykonawcy, podwykonawcy lub dalszego podwykonawcy z tytułu wykonanych robót budowlanych stosuje się przepisy ustawy z dnia 23 kwietnia 1964 r. – Kodeks cywilny, jeżeli przepisy umowy i ustawy Prawo zamówień publicznych nie stanowią inaczej.</w:t>
      </w:r>
    </w:p>
    <w:p>
      <w:pPr>
        <w:pStyle w:val="Normalny2"/>
        <w:numPr>
          <w:ilvl w:val="0"/>
          <w:numId w:val="11"/>
        </w:numPr>
        <w:tabs>
          <w:tab w:val="clear" w:pos="709"/>
          <w:tab w:val="left" w:pos="0" w:leader="none"/>
        </w:tabs>
        <w:spacing w:before="280" w:after="280"/>
        <w:ind w:hanging="426" w:left="426"/>
        <w:jc w:val="both"/>
        <w:rPr>
          <w:rFonts w:eastAsia="Bookman Old Style"/>
          <w:sz w:val="22"/>
          <w:szCs w:val="22"/>
        </w:rPr>
      </w:pPr>
      <w:r>
        <w:rPr>
          <w:sz w:val="22"/>
          <w:szCs w:val="22"/>
        </w:rPr>
        <w:t>Wykonawca oświadcza, że na moment zawarcia umowy jest zarejestrowanym, czynnym podatnikiem podatku VAT. Wykonawca zobowiązuje się, że w przypadku wykreślenia  go z rejestru podatników VAT czynnych zawiadomi o tym fakcie Zamawiającego w terminie 3 dni i z tytułu realizacji przedmiotu umowy będzie wystawiał rachunki na kwotę netto. Wykonawca zobowiązuje się w przypadku ponownego wpisania do rejestru podatników VAT czynnych, zawiadomić o tym fakcie Zamawiającego w terminie 3 dni, pod rygorem odpowiedzialności za szkody (utracone korzyści) powstałe w wyniku zaniechania tego obowiązku (jeżeli dotyczy),</w:t>
      </w:r>
    </w:p>
    <w:p>
      <w:pPr>
        <w:pStyle w:val="Normalny1"/>
        <w:tabs>
          <w:tab w:val="clear" w:pos="709"/>
          <w:tab w:val="left" w:pos="0" w:leader="none"/>
          <w:tab w:val="left" w:pos="567" w:leader="none"/>
        </w:tabs>
        <w:ind w:left="426" w:right="2"/>
        <w:jc w:val="both"/>
        <w:rPr>
          <w:b/>
          <w:sz w:val="22"/>
          <w:szCs w:val="22"/>
        </w:rPr>
      </w:pPr>
      <w:r>
        <w:rPr>
          <w:b/>
          <w:sz w:val="22"/>
          <w:szCs w:val="22"/>
        </w:rPr>
        <w:t>lub</w:t>
      </w:r>
    </w:p>
    <w:p>
      <w:pPr>
        <w:pStyle w:val="Normal"/>
        <w:widowControl w:val="false"/>
        <w:ind w:left="426"/>
        <w:jc w:val="both"/>
        <w:rPr>
          <w:sz w:val="22"/>
          <w:szCs w:val="22"/>
        </w:rPr>
      </w:pPr>
      <w:r>
        <w:rPr>
          <w:sz w:val="22"/>
          <w:szCs w:val="22"/>
        </w:rPr>
        <w:t>Wykonawca oświadcza, że na moment zawarcia umowy nie jest zarejestrowanym, czynnym podatnikiem podatku VAT. Wykonawca zobowiązuje się, że w przypadku wpisania go do rejestru podatników VAT czynnych zawiadomi o tym fakcie Zamawiającego w terminie 3 dni, pod rygorem odpowiedzialności za szkody (utracone korzyści) powstałe w wyniku zaniedbania tego obowiązku. Wykonawca zobowiązuje się, że w przypadku wykreślenia go z rejestru podatników VAT czynnych, zawiadomi o tym fakcie Zamawiającego w terminie 3 dni i z tytułu świadczonych usług wystawi rachunek na kwotę netto.</w:t>
      </w:r>
    </w:p>
    <w:p>
      <w:pPr>
        <w:pStyle w:val="Normalny1"/>
        <w:jc w:val="center"/>
        <w:rPr>
          <w:rFonts w:eastAsia="Bookman Old Style"/>
          <w:b/>
          <w:bCs/>
          <w:sz w:val="16"/>
          <w:szCs w:val="16"/>
        </w:rPr>
      </w:pPr>
      <w:r>
        <w:rPr>
          <w:rFonts w:eastAsia="Bookman Old Style"/>
          <w:b/>
          <w:bCs/>
          <w:sz w:val="16"/>
          <w:szCs w:val="16"/>
        </w:rPr>
      </w:r>
    </w:p>
    <w:p>
      <w:pPr>
        <w:pStyle w:val="Normalny1"/>
        <w:jc w:val="center"/>
        <w:rPr>
          <w:rFonts w:eastAsia="Bookman Old Style"/>
          <w:b/>
          <w:bCs/>
          <w:sz w:val="22"/>
          <w:szCs w:val="22"/>
        </w:rPr>
      </w:pPr>
      <w:r>
        <w:rPr>
          <w:rFonts w:eastAsia="Bookman Old Style"/>
          <w:b/>
          <w:bCs/>
          <w:sz w:val="22"/>
          <w:szCs w:val="22"/>
        </w:rPr>
        <w:t>§ 3.</w:t>
      </w:r>
    </w:p>
    <w:p>
      <w:pPr>
        <w:pStyle w:val="Normalny1"/>
        <w:jc w:val="center"/>
        <w:rPr>
          <w:rFonts w:eastAsia="Bookman Old Style"/>
          <w:b/>
          <w:bCs/>
          <w:sz w:val="22"/>
          <w:szCs w:val="22"/>
        </w:rPr>
      </w:pPr>
      <w:r>
        <w:rPr>
          <w:rFonts w:eastAsia="Bookman Old Style"/>
          <w:b/>
          <w:bCs/>
          <w:sz w:val="22"/>
          <w:szCs w:val="22"/>
        </w:rPr>
        <w:t>Podwykonawstwo</w:t>
      </w:r>
    </w:p>
    <w:p>
      <w:pPr>
        <w:pStyle w:val="Normalny1"/>
        <w:jc w:val="center"/>
        <w:rPr>
          <w:rFonts w:eastAsia="Bookman Old Style"/>
          <w:bCs/>
          <w:sz w:val="16"/>
          <w:szCs w:val="16"/>
        </w:rPr>
      </w:pPr>
      <w:r>
        <w:rPr>
          <w:rFonts w:eastAsia="Bookman Old Style"/>
          <w:bCs/>
          <w:sz w:val="16"/>
          <w:szCs w:val="16"/>
        </w:rPr>
      </w:r>
    </w:p>
    <w:p>
      <w:pPr>
        <w:pStyle w:val="Normal"/>
        <w:numPr>
          <w:ilvl w:val="0"/>
          <w:numId w:val="4"/>
        </w:numPr>
        <w:tabs>
          <w:tab w:val="clear" w:pos="709"/>
        </w:tabs>
        <w:ind w:hanging="567" w:left="567"/>
        <w:jc w:val="both"/>
        <w:rPr>
          <w:rFonts w:eastAsia="Bookman Old Style"/>
          <w:sz w:val="22"/>
          <w:szCs w:val="22"/>
        </w:rPr>
      </w:pPr>
      <w:r>
        <w:rPr>
          <w:rFonts w:eastAsia="Bookman Old Style"/>
          <w:sz w:val="22"/>
          <w:szCs w:val="22"/>
        </w:rPr>
        <w:t>Zakres zamówienia, który wykonawca będzie wykonywał za pomocą podwykonawców (jeżeli dotyczy):………………………………………………………………………….</w:t>
      </w:r>
    </w:p>
    <w:p>
      <w:pPr>
        <w:pStyle w:val="Normal"/>
        <w:numPr>
          <w:ilvl w:val="0"/>
          <w:numId w:val="4"/>
        </w:numPr>
        <w:tabs>
          <w:tab w:val="clear" w:pos="709"/>
        </w:tabs>
        <w:ind w:hanging="567" w:left="567"/>
        <w:jc w:val="both"/>
        <w:rPr>
          <w:rFonts w:eastAsia="Bookman Old Style"/>
          <w:sz w:val="22"/>
          <w:szCs w:val="22"/>
        </w:rPr>
      </w:pPr>
      <w:r>
        <w:rPr>
          <w:rFonts w:eastAsia="Bookman Old Style"/>
          <w:sz w:val="22"/>
          <w:szCs w:val="22"/>
        </w:rPr>
        <w:t>W pozostałym zakresie wykonawca będzie realizował zamówienie samodzielnie.</w:t>
      </w:r>
    </w:p>
    <w:p>
      <w:pPr>
        <w:pStyle w:val="Normal"/>
        <w:numPr>
          <w:ilvl w:val="0"/>
          <w:numId w:val="4"/>
        </w:numPr>
        <w:tabs>
          <w:tab w:val="clear" w:pos="709"/>
        </w:tabs>
        <w:ind w:hanging="567" w:left="567"/>
        <w:jc w:val="both"/>
        <w:rPr>
          <w:rFonts w:eastAsia="Bookman Old Style"/>
          <w:sz w:val="22"/>
          <w:szCs w:val="22"/>
        </w:rPr>
      </w:pPr>
      <w:r>
        <w:rPr>
          <w:sz w:val="22"/>
          <w:szCs w:val="22"/>
        </w:rPr>
        <w:t>Wykonawca przed przystąpieniem do wykonania zamówienia podaje zamawiającemu nazwy, dane kontaktowe oraz przedstawicieli, podwykonawców zaangażowanych w takie roboty budowlane lub usługi, albo dostawy jeżeli są już znani. Wykonawca zobowiązuje się zawiadomić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pPr>
        <w:pStyle w:val="Normal"/>
        <w:numPr>
          <w:ilvl w:val="0"/>
          <w:numId w:val="4"/>
        </w:numPr>
        <w:tabs>
          <w:tab w:val="clear" w:pos="709"/>
        </w:tabs>
        <w:ind w:hanging="567" w:left="567"/>
        <w:jc w:val="both"/>
        <w:rPr>
          <w:rFonts w:eastAsia="Bookman Old Style"/>
          <w:sz w:val="22"/>
          <w:szCs w:val="22"/>
        </w:rPr>
      </w:pPr>
      <w:r>
        <w:rPr>
          <w:sz w:val="22"/>
          <w:szCs w:val="22"/>
        </w:rPr>
        <w:t>Postanowienia określone w ust. 3 stosuje się do dalszych podwykonawców.</w:t>
      </w:r>
    </w:p>
    <w:p>
      <w:pPr>
        <w:pStyle w:val="Normal"/>
        <w:numPr>
          <w:ilvl w:val="0"/>
          <w:numId w:val="4"/>
        </w:numPr>
        <w:tabs>
          <w:tab w:val="clear" w:pos="709"/>
        </w:tabs>
        <w:ind w:hanging="567" w:left="567"/>
        <w:jc w:val="both"/>
        <w:rPr>
          <w:rFonts w:eastAsia="Bookman Old Style"/>
          <w:sz w:val="22"/>
          <w:szCs w:val="22"/>
        </w:rPr>
      </w:pPr>
      <w:r>
        <w:rPr>
          <w:sz w:val="22"/>
          <w:szCs w:val="22"/>
        </w:rPr>
        <w:t>Zamawiający może badać, czy nie zachodzą wobec podwykonawcy niebędącego podmiotem udostępniającym zasoby podstawy wykluczenia, o których mowa w art. 108 i art. 109 ustawy pzp, o ile przewidział to w dokumentach zamówienia. Wykonawca na żądanie zamawiającego przedstawia oświadczenie, o którym mowa w art. 125 ust. 1 ustawy pzp, lub podmiotowe środki dowodowe dotyczące tego podwykonawcy.</w:t>
      </w:r>
    </w:p>
    <w:p>
      <w:pPr>
        <w:pStyle w:val="Normal"/>
        <w:numPr>
          <w:ilvl w:val="0"/>
          <w:numId w:val="4"/>
        </w:numPr>
        <w:tabs>
          <w:tab w:val="clear" w:pos="709"/>
        </w:tabs>
        <w:ind w:hanging="567" w:left="567"/>
        <w:jc w:val="both"/>
        <w:rPr>
          <w:rFonts w:eastAsia="Bookman Old Style"/>
          <w:sz w:val="22"/>
          <w:szCs w:val="22"/>
        </w:rPr>
      </w:pPr>
      <w:r>
        <w:rPr>
          <w:sz w:val="22"/>
          <w:szCs w:val="22"/>
        </w:rPr>
        <w:t>W przypadku, o którym mowa w ust. 5, jeżeli wobec podwykonawcy zachodzą podstawy wykluczenia, zamawiający żąda, aby wykonawca w terminie określonym przez zamawiającego zastąpił tego podwykonawcę pod rygorem niedopuszczenia podwykonawcy do realizacji części zamówienia.</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pzp stosuje się odpowiednio.                   </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Powierzenie wykonania części zamówienia podwykonawcom nie zwalnia wykonawcy                                             z odpowiedzialności za należyte wykonanie tego zamówienia.</w:t>
      </w:r>
    </w:p>
    <w:p>
      <w:pPr>
        <w:pStyle w:val="Normal"/>
        <w:numPr>
          <w:ilvl w:val="0"/>
          <w:numId w:val="4"/>
        </w:numPr>
        <w:tabs>
          <w:tab w:val="clear" w:pos="709"/>
        </w:tabs>
        <w:ind w:hanging="567" w:left="567"/>
        <w:jc w:val="both"/>
        <w:rPr>
          <w:rFonts w:eastAsia="Bookman Old Style"/>
          <w:sz w:val="22"/>
          <w:szCs w:val="22"/>
        </w:rPr>
      </w:pPr>
      <w:r>
        <w:rPr>
          <w:sz w:val="22"/>
          <w:szCs w:val="22"/>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pPr>
        <w:pStyle w:val="Normal"/>
        <w:numPr>
          <w:ilvl w:val="0"/>
          <w:numId w:val="4"/>
        </w:numPr>
        <w:tabs>
          <w:tab w:val="clear" w:pos="709"/>
        </w:tabs>
        <w:ind w:hanging="567" w:left="567"/>
        <w:jc w:val="both"/>
        <w:rPr>
          <w:rFonts w:eastAsia="Bookman Old Style"/>
          <w:sz w:val="22"/>
          <w:szCs w:val="22"/>
        </w:rPr>
      </w:pPr>
      <w:r>
        <w:rPr>
          <w:sz w:val="22"/>
          <w:szCs w:val="22"/>
        </w:rPr>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pPr>
        <w:pStyle w:val="Normal"/>
        <w:numPr>
          <w:ilvl w:val="0"/>
          <w:numId w:val="4"/>
        </w:numPr>
        <w:tabs>
          <w:tab w:val="clear" w:pos="709"/>
        </w:tabs>
        <w:ind w:hanging="567" w:left="567"/>
        <w:jc w:val="both"/>
        <w:rPr>
          <w:rFonts w:eastAsia="Bookman Old Style"/>
          <w:sz w:val="22"/>
          <w:szCs w:val="22"/>
        </w:rPr>
      </w:pPr>
      <w:r>
        <w:rPr>
          <w:sz w:val="22"/>
          <w:szCs w:val="22"/>
        </w:rPr>
        <w:t>Termin zapłaty wynagrodzenia podwykonawcy lub dalszemu podwykonawcy, przewidziany w umowie</w:t>
        <w:br/>
        <w:t xml:space="preserve"> o podwykonawstwo, nie może być dłuższy niż 30 dni od dnia doręczenia wykonawcy, podwykonawcy lub dalszemu podwykonawcy faktury lub rachunku.</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Zamawiający, w terminie 7 dni zgłasza w formie pisemnej, pod rygorem nieważności, zastrzeżenia                 do projektu umowy o podwykonawstwo, której przedmiotem są roboty budowlane, w przypadku gdy: </w:t>
      </w:r>
    </w:p>
    <w:p>
      <w:pPr>
        <w:pStyle w:val="ListParagraph"/>
        <w:numPr>
          <w:ilvl w:val="0"/>
          <w:numId w:val="18"/>
        </w:numPr>
        <w:jc w:val="both"/>
        <w:rPr>
          <w:sz w:val="22"/>
          <w:szCs w:val="22"/>
          <w:lang w:eastAsia="pl-PL"/>
        </w:rPr>
      </w:pPr>
      <w:r>
        <w:rPr>
          <w:sz w:val="22"/>
          <w:szCs w:val="22"/>
          <w:lang w:eastAsia="pl-PL"/>
        </w:rPr>
        <w:t xml:space="preserve">nie spełnia ona wymagań określonych w SWZ, </w:t>
      </w:r>
    </w:p>
    <w:p>
      <w:pPr>
        <w:pStyle w:val="ListParagraph"/>
        <w:numPr>
          <w:ilvl w:val="0"/>
          <w:numId w:val="18"/>
        </w:numPr>
        <w:jc w:val="both"/>
        <w:rPr>
          <w:sz w:val="22"/>
          <w:szCs w:val="22"/>
          <w:lang w:eastAsia="pl-PL"/>
        </w:rPr>
      </w:pPr>
      <w:r>
        <w:rPr>
          <w:sz w:val="22"/>
          <w:szCs w:val="22"/>
          <w:lang w:eastAsia="pl-PL"/>
        </w:rPr>
        <w:t>przewiduje ona termin zapłaty wynagrodzenia dłuższy niż określony w ust. 11,</w:t>
      </w:r>
    </w:p>
    <w:p>
      <w:pPr>
        <w:pStyle w:val="ListParagraph"/>
        <w:numPr>
          <w:ilvl w:val="0"/>
          <w:numId w:val="18"/>
        </w:numPr>
        <w:jc w:val="both"/>
        <w:rPr>
          <w:sz w:val="22"/>
          <w:szCs w:val="22"/>
          <w:lang w:eastAsia="pl-PL"/>
        </w:rPr>
      </w:pPr>
      <w:r>
        <w:rPr>
          <w:sz w:val="22"/>
          <w:szCs w:val="22"/>
          <w:lang w:eastAsia="pl-PL"/>
        </w:rPr>
        <w:t>zawiera ona postanowienia niezgodne z ust. 9.</w:t>
      </w:r>
    </w:p>
    <w:p>
      <w:pPr>
        <w:pStyle w:val="Normal"/>
        <w:numPr>
          <w:ilvl w:val="0"/>
          <w:numId w:val="4"/>
        </w:numPr>
        <w:tabs>
          <w:tab w:val="clear" w:pos="709"/>
        </w:tabs>
        <w:ind w:hanging="567" w:left="567"/>
        <w:jc w:val="both"/>
        <w:rPr>
          <w:rFonts w:eastAsia="Bookman Old Style"/>
          <w:sz w:val="22"/>
          <w:szCs w:val="22"/>
        </w:rPr>
      </w:pPr>
      <w:r>
        <w:rPr>
          <w:sz w:val="22"/>
          <w:szCs w:val="22"/>
        </w:rPr>
        <w:t>Niezgłoszenie zastrzeżeń, o których mowa w ust. 12, do przedłożonego projektu umowy                                       o podwykonawstwo, której przedmiotem są roboty budowlane, w terminie 7 dni, uważa się za akceptację projektu umowy przez zamawiającego.</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Wykonawca, podwykonawca lub dalszy podwykonawca zamówienia na roboty budowlane przedkłada zamawiającemu poświadczoną za zgodność z oryginałem kopię zawartej umowy o podwykonawstwo, której przedmiotem są roboty budowlane, w terminie 7 dni od dnia jej zawarcia. </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Zamawiający, w terminie 7 dni, zgłasza w formie pisemnej pod rygorem nieważności sprzeciw do umowy o podwykonawstwo, której przedmiotem są roboty budowlane, w przypadkach, o których mowa w ust. 12.</w:t>
      </w:r>
    </w:p>
    <w:p>
      <w:pPr>
        <w:pStyle w:val="Normal"/>
        <w:numPr>
          <w:ilvl w:val="0"/>
          <w:numId w:val="4"/>
        </w:numPr>
        <w:tabs>
          <w:tab w:val="clear" w:pos="709"/>
        </w:tabs>
        <w:ind w:hanging="567" w:left="567"/>
        <w:jc w:val="both"/>
        <w:rPr>
          <w:rFonts w:eastAsia="Bookman Old Style"/>
          <w:sz w:val="22"/>
          <w:szCs w:val="22"/>
        </w:rPr>
      </w:pPr>
      <w:r>
        <w:rPr>
          <w:sz w:val="22"/>
          <w:szCs w:val="22"/>
        </w:rPr>
        <w:t>Niezgłoszenie sprzeciwu, o którym mowa w ust. 15, do przedłożonej umowy o podwykonawstwo, której przedmiotem są roboty budowlane, w terminie 7 dni, uważa się za akceptację umowy przez zamawiającego.</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W przypadku, o którym mowa w ust. 17, podwykonawca lub dalszy podwykonawca, przedkłada poświadczoną za zgodność z oryginałem kopię umowy również wykonawcy. </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 xml:space="preserve">W przypadku, o którym mowa w ust. 17, jeżeli termin zapłaty wynagrodzenia jest dłuższy niż określony w ust. 11, zamawiający informuje o tym wykonawcę i wzywa go do doprowadzenia do zmiany tej umowy, pod rygorem wystąpienia o zapłatę kary umownej. </w:t>
      </w:r>
    </w:p>
    <w:p>
      <w:pPr>
        <w:pStyle w:val="Normal"/>
        <w:numPr>
          <w:ilvl w:val="0"/>
          <w:numId w:val="4"/>
        </w:numPr>
        <w:tabs>
          <w:tab w:val="clear" w:pos="709"/>
        </w:tabs>
        <w:ind w:hanging="567" w:left="567"/>
        <w:jc w:val="both"/>
        <w:rPr>
          <w:rFonts w:eastAsia="Bookman Old Style"/>
          <w:sz w:val="22"/>
          <w:szCs w:val="22"/>
        </w:rPr>
      </w:pPr>
      <w:r>
        <w:rPr>
          <w:sz w:val="22"/>
          <w:szCs w:val="22"/>
          <w:lang w:eastAsia="pl-PL"/>
        </w:rPr>
        <w:t>Przepisy ust. 10–19 stosuje się odpowiednio do zmian umowy o podwykonawstwo.</w:t>
      </w:r>
    </w:p>
    <w:p>
      <w:pPr>
        <w:pStyle w:val="Normalny1"/>
        <w:tabs>
          <w:tab w:val="clear" w:pos="709"/>
          <w:tab w:val="left" w:pos="405" w:leader="none"/>
        </w:tabs>
        <w:rPr>
          <w:rFonts w:eastAsia="Bookman Old Style"/>
          <w:b/>
          <w:sz w:val="22"/>
          <w:szCs w:val="22"/>
        </w:rPr>
      </w:pPr>
      <w:r>
        <w:rPr>
          <w:rFonts w:eastAsia="Bookman Old Style"/>
          <w:b/>
          <w:sz w:val="22"/>
          <w:szCs w:val="22"/>
        </w:rPr>
      </w:r>
    </w:p>
    <w:p>
      <w:pPr>
        <w:pStyle w:val="Normalny1"/>
        <w:ind w:hanging="360" w:left="360"/>
        <w:jc w:val="center"/>
        <w:rPr>
          <w:rFonts w:eastAsia="Bookman Old Style"/>
          <w:b/>
          <w:bCs/>
          <w:sz w:val="22"/>
          <w:szCs w:val="22"/>
        </w:rPr>
      </w:pPr>
      <w:r>
        <w:rPr>
          <w:rFonts w:eastAsia="Bookman Old Style"/>
          <w:b/>
          <w:bCs/>
          <w:sz w:val="22"/>
          <w:szCs w:val="22"/>
        </w:rPr>
        <w:t>§ 4.</w:t>
      </w:r>
    </w:p>
    <w:p>
      <w:pPr>
        <w:pStyle w:val="Normalny1"/>
        <w:tabs>
          <w:tab w:val="clear" w:pos="709"/>
          <w:tab w:val="left" w:pos="405" w:leader="none"/>
        </w:tabs>
        <w:ind w:hanging="375" w:left="405"/>
        <w:jc w:val="center"/>
        <w:rPr>
          <w:rFonts w:eastAsia="Bookman Old Style"/>
          <w:b/>
          <w:sz w:val="22"/>
          <w:szCs w:val="22"/>
        </w:rPr>
      </w:pPr>
      <w:r>
        <w:rPr>
          <w:rFonts w:eastAsia="Bookman Old Style"/>
          <w:b/>
          <w:sz w:val="22"/>
          <w:szCs w:val="22"/>
        </w:rPr>
        <w:t>Obowiązki zamawiającego</w:t>
      </w:r>
    </w:p>
    <w:p>
      <w:pPr>
        <w:pStyle w:val="Normalny1"/>
        <w:ind w:hanging="360" w:left="360"/>
        <w:jc w:val="both"/>
        <w:rPr>
          <w:rFonts w:eastAsia="Bookman Old Style"/>
          <w:sz w:val="22"/>
          <w:szCs w:val="22"/>
        </w:rPr>
      </w:pPr>
      <w:r>
        <w:rPr>
          <w:rFonts w:eastAsia="Bookman Old Style"/>
          <w:sz w:val="22"/>
          <w:szCs w:val="22"/>
        </w:rPr>
      </w:r>
    </w:p>
    <w:p>
      <w:pPr>
        <w:pStyle w:val="Normal"/>
        <w:numPr>
          <w:ilvl w:val="0"/>
          <w:numId w:val="5"/>
        </w:numPr>
        <w:tabs>
          <w:tab w:val="clear" w:pos="709"/>
          <w:tab w:val="left" w:pos="360" w:leader="none"/>
        </w:tabs>
        <w:ind w:hanging="540" w:left="540"/>
        <w:jc w:val="both"/>
        <w:rPr>
          <w:rFonts w:eastAsia="Bookman Old Style"/>
          <w:sz w:val="22"/>
          <w:szCs w:val="22"/>
        </w:rPr>
      </w:pPr>
      <w:r>
        <w:rPr>
          <w:rFonts w:eastAsia="Bookman Old Style"/>
          <w:sz w:val="22"/>
          <w:szCs w:val="22"/>
        </w:rPr>
        <w:t>Zamawiający zobowiązuje się do wykonywania czynności wynikających z niniejszej umowy.</w:t>
      </w:r>
    </w:p>
    <w:p>
      <w:pPr>
        <w:pStyle w:val="Normal"/>
        <w:numPr>
          <w:ilvl w:val="0"/>
          <w:numId w:val="5"/>
        </w:numPr>
        <w:tabs>
          <w:tab w:val="clear" w:pos="709"/>
          <w:tab w:val="left" w:pos="360" w:leader="none"/>
        </w:tabs>
        <w:ind w:hanging="540" w:left="540"/>
        <w:jc w:val="both"/>
        <w:rPr>
          <w:rFonts w:eastAsia="Bookman Old Style"/>
          <w:sz w:val="22"/>
          <w:szCs w:val="22"/>
        </w:rPr>
      </w:pPr>
      <w:r>
        <w:rPr>
          <w:rFonts w:eastAsia="Bookman Old Style"/>
          <w:sz w:val="22"/>
          <w:szCs w:val="22"/>
        </w:rPr>
        <w:t>Zamawiający oświadcza, że posiada prawo do dysponowania terenem robót na cele budowlane.</w:t>
      </w:r>
    </w:p>
    <w:p>
      <w:pPr>
        <w:pStyle w:val="Normal"/>
        <w:numPr>
          <w:ilvl w:val="0"/>
          <w:numId w:val="5"/>
        </w:numPr>
        <w:tabs>
          <w:tab w:val="clear" w:pos="709"/>
          <w:tab w:val="left" w:pos="360" w:leader="none"/>
        </w:tabs>
        <w:ind w:hanging="360" w:left="360"/>
        <w:jc w:val="both"/>
        <w:rPr>
          <w:rFonts w:eastAsia="Bookman Old Style"/>
          <w:sz w:val="22"/>
          <w:szCs w:val="22"/>
        </w:rPr>
      </w:pPr>
      <w:r>
        <w:rPr>
          <w:rFonts w:eastAsia="Bookman Old Style"/>
          <w:sz w:val="22"/>
          <w:szCs w:val="22"/>
        </w:rPr>
        <w:t>Zamawiający zobowiązuje się, niezwłocznie po podpisaniu umowy, przekazać wykonawcy miejsce realizacji robót.</w:t>
      </w:r>
    </w:p>
    <w:p>
      <w:pPr>
        <w:pStyle w:val="Normal"/>
        <w:numPr>
          <w:ilvl w:val="0"/>
          <w:numId w:val="5"/>
        </w:numPr>
        <w:tabs>
          <w:tab w:val="clear" w:pos="709"/>
          <w:tab w:val="left" w:pos="360" w:leader="none"/>
        </w:tabs>
        <w:ind w:hanging="360" w:left="360"/>
        <w:jc w:val="both"/>
        <w:rPr>
          <w:rFonts w:eastAsia="Bookman Old Style"/>
          <w:sz w:val="22"/>
          <w:szCs w:val="22"/>
        </w:rPr>
      </w:pPr>
      <w:r>
        <w:rPr>
          <w:rFonts w:eastAsia="Bookman Old Style"/>
          <w:sz w:val="22"/>
          <w:szCs w:val="22"/>
        </w:rPr>
        <w:t>Zamawiający zapewni nadzór nad robotami będącymi przedmiotem umowy ustanawiając koordynatorów/ inspektorów nadzoru.</w:t>
      </w:r>
    </w:p>
    <w:p>
      <w:pPr>
        <w:pStyle w:val="Normal"/>
        <w:numPr>
          <w:ilvl w:val="0"/>
          <w:numId w:val="5"/>
        </w:numPr>
        <w:tabs>
          <w:tab w:val="clear" w:pos="709"/>
          <w:tab w:val="left" w:pos="360" w:leader="none"/>
        </w:tabs>
        <w:ind w:hanging="360" w:left="360"/>
        <w:jc w:val="both"/>
        <w:rPr>
          <w:rFonts w:eastAsia="Bookman Old Style"/>
          <w:sz w:val="22"/>
          <w:szCs w:val="22"/>
        </w:rPr>
      </w:pPr>
      <w:r>
        <w:rPr>
          <w:rFonts w:eastAsia="Bookman Old Style"/>
          <w:sz w:val="22"/>
          <w:szCs w:val="22"/>
        </w:rPr>
        <w:t>Zamawiający zobowiązuje się do zapłaty wynagrodzenia po dokonaniu odbioru wykonanych robót.</w:t>
      </w:r>
    </w:p>
    <w:p>
      <w:pPr>
        <w:pStyle w:val="Normal"/>
        <w:numPr>
          <w:ilvl w:val="0"/>
          <w:numId w:val="5"/>
        </w:numPr>
        <w:tabs>
          <w:tab w:val="clear" w:pos="709"/>
          <w:tab w:val="left" w:pos="360" w:leader="none"/>
        </w:tabs>
        <w:ind w:hanging="360" w:left="360"/>
        <w:jc w:val="both"/>
        <w:rPr>
          <w:rFonts w:eastAsia="Bookman Old Style"/>
          <w:sz w:val="22"/>
          <w:szCs w:val="22"/>
        </w:rPr>
      </w:pPr>
      <w:r>
        <w:rPr>
          <w:rFonts w:eastAsia="Bookman Old Style"/>
          <w:sz w:val="22"/>
          <w:szCs w:val="22"/>
        </w:rPr>
        <w:t>Ustalenia i decyzje dotyczące wykonania zamówienia uzgadniane będą przez zamawiającego                                          z ustanowionym przez wykonawcę kierownikiem budowy.</w:t>
      </w:r>
    </w:p>
    <w:p>
      <w:pPr>
        <w:pStyle w:val="Normal"/>
        <w:numPr>
          <w:ilvl w:val="0"/>
          <w:numId w:val="5"/>
        </w:numPr>
        <w:tabs>
          <w:tab w:val="clear" w:pos="709"/>
          <w:tab w:val="left" w:pos="360" w:leader="none"/>
        </w:tabs>
        <w:ind w:hanging="360" w:left="360"/>
        <w:jc w:val="both"/>
        <w:rPr>
          <w:rFonts w:eastAsia="Bookman Old Style"/>
          <w:sz w:val="22"/>
          <w:szCs w:val="22"/>
        </w:rPr>
      </w:pPr>
      <w:r>
        <w:rPr>
          <w:bCs/>
          <w:sz w:val="22"/>
          <w:szCs w:val="22"/>
        </w:rPr>
        <w:t xml:space="preserve">Wykonawcy wspólnie realizujący umowę (konsorcjum) ponoszą solidarną odpowiedzialność                            za prawidłową realizację zamówienia i wniesienie zabezpieczenia należytego wykonania umowy. </w:t>
      </w:r>
      <w:r>
        <w:rPr>
          <w:sz w:val="22"/>
          <w:szCs w:val="22"/>
        </w:rPr>
        <w:t>Zamawiający może w ramach odpowiedzialności solidarnej żądać wykonania umowy w całości przez partnera kierującego lub od wszystkich partnerów łącznie lub od każdego z osobna.</w:t>
      </w:r>
    </w:p>
    <w:p>
      <w:pPr>
        <w:pStyle w:val="Normal"/>
        <w:numPr>
          <w:ilvl w:val="0"/>
          <w:numId w:val="5"/>
        </w:numPr>
        <w:tabs>
          <w:tab w:val="clear" w:pos="709"/>
          <w:tab w:val="left" w:pos="360" w:leader="none"/>
        </w:tabs>
        <w:ind w:hanging="360" w:left="360"/>
        <w:jc w:val="both"/>
        <w:rPr>
          <w:rFonts w:eastAsia="Bookman Old Style"/>
          <w:sz w:val="22"/>
          <w:szCs w:val="22"/>
        </w:rPr>
      </w:pPr>
      <w:r>
        <w:rPr>
          <w:rFonts w:eastAsia="Bookman Old Style"/>
          <w:sz w:val="22"/>
          <w:szCs w:val="22"/>
        </w:rPr>
        <w:t>P</w:t>
      </w:r>
      <w:r>
        <w:rPr>
          <w:sz w:val="22"/>
          <w:szCs w:val="22"/>
          <w:lang w:eastAsia="pl-PL"/>
        </w:rPr>
        <w:t>rzedstawiciel Zamawiającego ma prawo do zapoznania się z przebiegiem i postępem prac na każdym etapie realizacji zadania.</w:t>
      </w:r>
    </w:p>
    <w:p>
      <w:pPr>
        <w:pStyle w:val="Normalny1"/>
        <w:rPr>
          <w:rFonts w:eastAsia="Bookman Old Style"/>
          <w:b/>
          <w:bCs/>
          <w:sz w:val="22"/>
          <w:szCs w:val="22"/>
        </w:rPr>
      </w:pPr>
      <w:r>
        <w:rPr>
          <w:rFonts w:eastAsia="Bookman Old Style"/>
          <w:b/>
          <w:bCs/>
          <w:sz w:val="22"/>
          <w:szCs w:val="22"/>
        </w:rPr>
      </w:r>
    </w:p>
    <w:p>
      <w:pPr>
        <w:pStyle w:val="Normalny1"/>
        <w:ind w:hanging="360" w:left="360"/>
        <w:jc w:val="center"/>
        <w:rPr>
          <w:rFonts w:eastAsia="Bookman Old Style"/>
          <w:b/>
          <w:bCs/>
          <w:sz w:val="22"/>
          <w:szCs w:val="22"/>
        </w:rPr>
      </w:pPr>
      <w:r>
        <w:rPr>
          <w:rFonts w:eastAsia="Bookman Old Style"/>
          <w:b/>
          <w:bCs/>
          <w:sz w:val="22"/>
          <w:szCs w:val="22"/>
        </w:rPr>
        <w:t>§ 5.</w:t>
      </w:r>
    </w:p>
    <w:p>
      <w:pPr>
        <w:pStyle w:val="Normalny1"/>
        <w:tabs>
          <w:tab w:val="clear" w:pos="709"/>
          <w:tab w:val="left" w:pos="405" w:leader="none"/>
        </w:tabs>
        <w:ind w:hanging="375" w:left="405"/>
        <w:jc w:val="center"/>
        <w:rPr>
          <w:rFonts w:eastAsia="Bookman Old Style"/>
          <w:b/>
          <w:sz w:val="22"/>
          <w:szCs w:val="22"/>
        </w:rPr>
      </w:pPr>
      <w:r>
        <w:rPr>
          <w:rFonts w:eastAsia="Bookman Old Style"/>
          <w:b/>
          <w:sz w:val="22"/>
          <w:szCs w:val="22"/>
        </w:rPr>
        <w:t>Obowiązki wykonawcy</w:t>
      </w:r>
    </w:p>
    <w:p>
      <w:pPr>
        <w:pStyle w:val="Normal"/>
        <w:suppressAutoHyphens w:val="false"/>
        <w:jc w:val="both"/>
        <w:rPr>
          <w:sz w:val="22"/>
          <w:szCs w:val="22"/>
        </w:rPr>
      </w:pPr>
      <w:r>
        <w:rPr>
          <w:sz w:val="22"/>
          <w:szCs w:val="22"/>
        </w:rPr>
      </w:r>
    </w:p>
    <w:p>
      <w:pPr>
        <w:pStyle w:val="Normal"/>
        <w:widowControl w:val="false"/>
        <w:numPr>
          <w:ilvl w:val="0"/>
          <w:numId w:val="3"/>
        </w:numPr>
        <w:tabs>
          <w:tab w:val="clear" w:pos="709"/>
          <w:tab w:val="left" w:pos="360" w:leader="none"/>
        </w:tabs>
        <w:ind w:hanging="360" w:left="360"/>
        <w:jc w:val="both"/>
        <w:rPr>
          <w:rFonts w:eastAsia="Bookman Old Style"/>
          <w:sz w:val="22"/>
          <w:szCs w:val="22"/>
        </w:rPr>
      </w:pPr>
      <w:r>
        <w:rPr>
          <w:sz w:val="22"/>
          <w:szCs w:val="22"/>
        </w:rPr>
        <w:t>Wykonawca jest zobowiązany do przedłożenia zamawiającemu wykazu osób z pełnym składem osobowym pracowników zatrudnionych na podstawie stosunku pracy na stanowiskach wskazanych                                       w SWZ, realizujących czynności w zakresie realizacji zamówienia wraz z określeniem funkcji jaką będą pełnić najpóźniej w dniu przekazania terenu budowy i aktualizowania na bieżąco – tj. za każdym razem, gdy nastąpi zmiana personelu realizującego czynności w zakresie realizacji zamówienia.</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Wykonawca zobowiązany jest do załączenia do faktury wystawionej po wykonaniu części lub całości robót, wykazu osób (określający skład osobowy), o którym mowa w ust. 1 wraz z oświadczeniem każdej z tych osób, że przez okres wykonywania czynności, o których mowa w ust. 1 była zatrudniona na podstawie umowy o pracę przez wykonawcę lub podwykonawcę.</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 xml:space="preserve">Zamawiającemu  - w celu </w:t>
      </w:r>
      <w:r>
        <w:rPr>
          <w:rFonts w:ascii="Times New Roman" w:hAnsi="Times New Roman"/>
          <w:szCs w:val="22"/>
          <w:lang w:eastAsia="pl-PL"/>
        </w:rPr>
        <w:t xml:space="preserve">weryfikacji zatrudniania, przez wykonawcę lub podwykonawcę, na podstawie umowy o pracę, osób wykonujących wskazane przez zamawiającego w SWZ czynności w zakresie realizacji zamówienia, przysługuje dodatkowo prawo do żądania: </w:t>
      </w:r>
    </w:p>
    <w:p>
      <w:pPr>
        <w:pStyle w:val="WW-Tekstpodstawowy3"/>
        <w:numPr>
          <w:ilvl w:val="7"/>
          <w:numId w:val="3"/>
        </w:numPr>
        <w:tabs>
          <w:tab w:val="clear" w:pos="709"/>
        </w:tabs>
        <w:ind w:hanging="425" w:left="851" w:right="-1"/>
        <w:rPr>
          <w:rFonts w:ascii="Times New Roman" w:hAnsi="Times New Roman"/>
          <w:szCs w:val="22"/>
        </w:rPr>
      </w:pPr>
      <w:r>
        <w:rPr>
          <w:rFonts w:ascii="Times New Roman" w:hAnsi="Times New Roman"/>
          <w:szCs w:val="22"/>
          <w:lang w:eastAsia="pl-PL"/>
        </w:rPr>
        <w:t xml:space="preserve">oświadczenia zatrudnionego pracownika, </w:t>
      </w:r>
    </w:p>
    <w:p>
      <w:pPr>
        <w:pStyle w:val="WW-Tekstpodstawowy3"/>
        <w:numPr>
          <w:ilvl w:val="7"/>
          <w:numId w:val="3"/>
        </w:numPr>
        <w:tabs>
          <w:tab w:val="clear" w:pos="709"/>
        </w:tabs>
        <w:ind w:hanging="425" w:left="851" w:right="-1"/>
        <w:rPr>
          <w:rFonts w:ascii="Times New Roman" w:hAnsi="Times New Roman"/>
          <w:szCs w:val="22"/>
        </w:rPr>
      </w:pPr>
      <w:r>
        <w:rPr>
          <w:rFonts w:ascii="Times New Roman" w:hAnsi="Times New Roman"/>
          <w:szCs w:val="22"/>
          <w:lang w:eastAsia="pl-PL"/>
        </w:rPr>
        <w:t xml:space="preserve">oświadczenia wykonawcy lub podwykonawcy o zatrudnieniu pracownika na podstawie umowy                    o pracę, </w:t>
      </w:r>
    </w:p>
    <w:p>
      <w:pPr>
        <w:pStyle w:val="WW-Tekstpodstawowy3"/>
        <w:numPr>
          <w:ilvl w:val="7"/>
          <w:numId w:val="3"/>
        </w:numPr>
        <w:tabs>
          <w:tab w:val="clear" w:pos="709"/>
        </w:tabs>
        <w:ind w:hanging="425" w:left="851" w:right="-1"/>
        <w:rPr>
          <w:rFonts w:ascii="Times New Roman" w:hAnsi="Times New Roman"/>
          <w:szCs w:val="22"/>
        </w:rPr>
      </w:pPr>
      <w:r>
        <w:rPr>
          <w:rFonts w:ascii="Times New Roman" w:hAnsi="Times New Roman"/>
          <w:szCs w:val="22"/>
          <w:lang w:eastAsia="pl-PL"/>
        </w:rPr>
        <w:t>poświadczonej za zgodność z oryginałem kopii umowy o pracę zatrudnionego pracownika,</w:t>
      </w:r>
    </w:p>
    <w:p>
      <w:pPr>
        <w:pStyle w:val="WW-Tekstpodstawowy3"/>
        <w:numPr>
          <w:ilvl w:val="7"/>
          <w:numId w:val="3"/>
        </w:numPr>
        <w:tabs>
          <w:tab w:val="clear" w:pos="709"/>
        </w:tabs>
        <w:ind w:hanging="425" w:left="851" w:right="-1"/>
        <w:rPr>
          <w:rFonts w:ascii="Times New Roman" w:hAnsi="Times New Roman"/>
          <w:szCs w:val="22"/>
        </w:rPr>
      </w:pPr>
      <w:r>
        <w:rPr>
          <w:rFonts w:ascii="Times New Roman" w:hAnsi="Times New Roman"/>
          <w:szCs w:val="22"/>
          <w:lang w:eastAsia="pl-PL"/>
        </w:rPr>
        <w:t>innych dokumentów  - zawierających informacje, w tym dane osobowe, niezbędne do weryfikacji zatrudnienia na podstawie umowy o pracę, w szczególności imię i nazwisko zatrudnionego pracownika, datę zawarcia umowy o pracę, rodzaj umowy o pracę i zakres obowiązków pracownika.</w:t>
      </w:r>
    </w:p>
    <w:p>
      <w:pPr>
        <w:pStyle w:val="Normal"/>
        <w:widowControl w:val="false"/>
        <w:numPr>
          <w:ilvl w:val="0"/>
          <w:numId w:val="3"/>
        </w:numPr>
        <w:tabs>
          <w:tab w:val="clear" w:pos="709"/>
          <w:tab w:val="left" w:pos="360" w:leader="none"/>
        </w:tabs>
        <w:ind w:hanging="360" w:left="360"/>
        <w:jc w:val="both"/>
        <w:rPr>
          <w:rFonts w:eastAsia="Bookman Old Style"/>
          <w:sz w:val="22"/>
          <w:szCs w:val="22"/>
        </w:rPr>
      </w:pPr>
      <w:r>
        <w:rPr>
          <w:rFonts w:eastAsia="Bookman Old Style"/>
          <w:sz w:val="22"/>
          <w:szCs w:val="22"/>
        </w:rPr>
        <w:t>Wykonawca odpowiedzialny jest za jakość, zgodność z warunkami technicznymi, jakościowymi,                     i funkcjonalnymi zgodnie z dokumentacją techniczną, ustaleniami SWZ, obowiązującymi normami                    i przepisami, sztuką budowlaną oraz należytą starannością.</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Do wykonawcy należy zabezpieczenie i oznakowanie terenu robót, uporządkowanie terenu                                po zakończeniu robót oraz dokonanie uzgodnień, prób, badań niezbędnych do prawidłowej realizacji, zakończenia, odbioru robót.</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eastAsia="Bookman Old Style" w:ascii="Times New Roman" w:hAnsi="Times New Roman"/>
          <w:szCs w:val="22"/>
        </w:rPr>
        <w:t>Wykonawca zobowiązany jest wykonywać polecenia zamawiającego, w szczególności ustanowionych inspektorów nadzoru, wydawane zgodnie z obowiązującymi przepisami oraz postanowieniami niniejszej umowy.</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 xml:space="preserve">Wykonawca zobowiązany jest bezwzględnie posiadać aprobaty techniczne, atesty, badania, certyfikaty </w:t>
        <w:br/>
        <w:t>i inne dokumenty wymagane prawem budowlanym, aktami wykonawczymi oraz innymi przepisami prawa, na montowane i wbudowywane w ramach zamówienia materiały i urządzenia.</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pacing w:val="-4"/>
          <w:szCs w:val="22"/>
        </w:rPr>
        <w:t>W każdym czasie, w trakcie realizacji robót, wykonawca zobowiązany jest udostępnić zamawiającemu na jego wniosek dokumenty, o których mowa w ust. 7.</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Wykonawca przed wbudowaniem materiałów i urządzeń będzie przekazywał zamawiającemu certyfikaty, badania, świadectwa, atesty, aprobaty.</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eastAsia="Bookman Old Style" w:ascii="Times New Roman" w:hAnsi="Times New Roman"/>
          <w:szCs w:val="22"/>
        </w:rPr>
        <w:t>Wykonawca zobowiązany jest każdorazowo uzupełniać zaświadczenia, wydawane dla kierownika robót potwierdzające wpis na listę członków właściwej izby samorządu zawodowego.</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Wykonawca będzie brał udział poprzez swoich umocowanych przedstawicieli w wizytach kontrolnych                i monitorujących realizowanych przez przedstawicieli organów państwowych i samorządowych                        na każdym etapie realizacji umowy, oraz będzie udzielał wymaganych przez te organy wyjaśnień i informacji. </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Wykonawca wykona w imieniu i na rzecz Zamawiającego opracowania i czynności wynikające z obowiązujących przepisów, warunków technicznych, wydanych decyzji administracyjnych, zawartych umów.</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Wykonawca (jeżeli zajdzie taka potrzeba) jest upoważniony i zobowiązany do: </w:t>
      </w:r>
    </w:p>
    <w:p>
      <w:pPr>
        <w:pStyle w:val="WW-Tekstpodstawowy3"/>
        <w:ind w:left="360" w:right="-1"/>
        <w:rPr>
          <w:rFonts w:ascii="Times New Roman" w:hAnsi="Times New Roman"/>
          <w:szCs w:val="22"/>
          <w:lang w:eastAsia="pl-PL"/>
        </w:rPr>
      </w:pPr>
      <w:r>
        <w:rPr>
          <w:rFonts w:ascii="Times New Roman" w:hAnsi="Times New Roman"/>
          <w:szCs w:val="22"/>
          <w:lang w:eastAsia="pl-PL"/>
        </w:rPr>
        <w:t>1)</w:t>
        <w:tab/>
        <w:t xml:space="preserve">powiadomienia przed rozpoczęciem robót niezbędne służby wymienione w uzgodnieniach, </w:t>
      </w:r>
    </w:p>
    <w:p>
      <w:pPr>
        <w:pStyle w:val="WW-Tekstpodstawowy3"/>
        <w:ind w:hanging="345" w:left="705" w:right="-1"/>
        <w:jc w:val="left"/>
        <w:rPr>
          <w:rFonts w:ascii="Times New Roman" w:hAnsi="Times New Roman"/>
          <w:szCs w:val="22"/>
          <w:lang w:eastAsia="pl-PL"/>
        </w:rPr>
      </w:pPr>
      <w:r>
        <w:rPr>
          <w:rFonts w:ascii="Times New Roman" w:hAnsi="Times New Roman"/>
          <w:szCs w:val="22"/>
          <w:lang w:eastAsia="pl-PL"/>
        </w:rPr>
        <w:t>2)</w:t>
        <w:tab/>
        <w:t>decyzjach administracyjnych oraz warunkach dostawców mediów i właścicieli terenów,</w:t>
      </w:r>
    </w:p>
    <w:p>
      <w:pPr>
        <w:pStyle w:val="WW-Tekstpodstawowy3"/>
        <w:ind w:left="360" w:right="-1"/>
        <w:rPr>
          <w:rFonts w:ascii="Times New Roman" w:hAnsi="Times New Roman"/>
          <w:szCs w:val="22"/>
        </w:rPr>
      </w:pPr>
      <w:r>
        <w:rPr>
          <w:rFonts w:ascii="Times New Roman" w:hAnsi="Times New Roman"/>
          <w:szCs w:val="22"/>
          <w:lang w:eastAsia="pl-PL"/>
        </w:rPr>
        <w:t>3)</w:t>
        <w:tab/>
        <w:t>zapewnienia nieskrępowanego dostępu do terenu budowy uprawnionym osobom.</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Wykonawca jest zobowiązany do uczestnictwa w organizowanych przez Zamawiającego naradach                        i spotkaniach (raz na dwa tygodnie lub częściej, zgodnie z wytycznymi Zamawiającego).</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Zamawiający zastrzega sobie prawo do zlecenia niezależnemu podmiotowi prób, badań lub ekspertyz                  w zakresie przedmiotu Zamówienia. Jeżeli potwierdzą one, iż jest on realizowany niezgodnie                                z dokumentacją projektową, przepisami, normami, należytą starannością czy zaleceniami zamawiającego, wykonawca zobowiązany będzie doprowadzić przedmiot Zamówienia do stanu właściwego (na własny koszt) oraz pokryć koszty wykonania prób, badań lub ekspertyz. </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Wykonawca zgłosi gotowość odbioru technicznego/końcowego robót.</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Wykonawca jest zobowiązany zebrać i przekazać Inspektorowi Nadzoru Inwestorskiego (o ile został ustanowiony) w dniu zgłoszenia gotowości do odbioru technicznego/ końcowego i powiadomienia o tym Zamawiającego dokumenty wymagane przepisami polskiego prawa i przepisami Prawa budowlanego pozwalające na ocenę prawidłowego wykonania przedmiotu odbioru, w szczególności: </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1)</w:t>
        <w:tab/>
        <w:t>oświadczenie kierownika budowy o zgodności wykonanego obiektu  z zatwierdzonym projektem budowlanym, przepisami i normami oraz doprowadzeniem terenu budowy i obszarów przyległych              do należytego stanu i porządku;</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2)</w:t>
        <w:tab/>
        <w:t>protokoły z przeprowadzonych prób oraz zaświadczenia z odbiorów technicznych instalacji;</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3)</w:t>
        <w:tab/>
        <w:t>wymagane dla materiałów dokumenty potwierdzające dopuszczenie do stosowania w budownictwie    na terytorium Polski (o ile nie zostały przekazane w toku realizacji robót), atesty na prefabrykaty, materiały i urządzenia, aprobaty techniczne, atesty, certyfikaty i inne dokumenty dopuszczające zastosowane materiały i urządzenia do wbudowania;</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4)</w:t>
        <w:tab/>
        <w:t>dokumenty, protokoły i zaświadczenia z przeprowadzonych przez Wykonawcę sprawdzeń i badań;</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5)</w:t>
        <w:tab/>
        <w:t>dokumenty gwarancji udzielonych przez producentów/sprzedawców na wbudowane materiały/urządzenia (w języku polskim) wraz z oświadczeniem o upoważnieniu Zamawiającego  do wykonywania uprawnień z gwarancji udzielonych przez producentów/sprzedawców wraz z oświadczeniem,                  że w przypadku, gdy podmiot udzielający gwarancji nie istnieje lub został postawiony w stan likwidacji lub upadłości lub odmawia wykonania usługi gwarancyjnej, Zamawiający może żądać usunięcia wady przez Generalnego Wykonawcę niezależnie od kierowanych roszczeń do gwaranta;</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6)</w:t>
        <w:tab/>
        <w:t>inwentaryzację (zdjęciową) wykonywaną w trakcie i po realizacji robót budowlanych,</w:t>
      </w:r>
    </w:p>
    <w:p>
      <w:pPr>
        <w:pStyle w:val="ListParagraph"/>
        <w:suppressAutoHyphens w:val="false"/>
        <w:spacing w:before="0" w:after="0"/>
        <w:ind w:hanging="283" w:left="709"/>
        <w:contextualSpacing/>
        <w:jc w:val="both"/>
        <w:rPr>
          <w:color w:val="auto"/>
          <w:sz w:val="22"/>
          <w:szCs w:val="22"/>
          <w:lang w:eastAsia="pl-PL"/>
        </w:rPr>
      </w:pPr>
      <w:r>
        <w:rPr>
          <w:color w:val="auto"/>
          <w:sz w:val="22"/>
          <w:szCs w:val="22"/>
          <w:lang w:eastAsia="pl-PL"/>
        </w:rPr>
        <w:t>7)</w:t>
        <w:tab/>
        <w:t>kosztorys powykonawczy;</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Wykonawca przed zgłoszeniem winien przedłożyć Zamawiającemu pisemne rozliczenie materiałów                          z demontażu potwierdzone przez użytkownika i Zamawiającego. Złom uzyskany z rozbiórki Wykonawca jest zobowiązany przetransportować do punktu skupu (w obecności pracownika  wytypowanego przez Użytkownika obiektu) i przekazać dokumenty w celu dalszego rozliczenia użytkownikowi obiektu. </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Czynności odbioru technicznego / końcowego zostaną podjęte przez Zamawiającego w terminie                       7 dni roboczych od daty powiadomienia Zamawiającego z zastrzeżeniem, iż Wykonawca przekazał dokumenty, o których mowa w ust. 17. </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Na dzień rozpoczęcia prac komisji odbioru końcowego, Wykonawca przekaże Zamawiającemu w stanie kompletnym i bez wad:</w:t>
      </w:r>
    </w:p>
    <w:p>
      <w:pPr>
        <w:pStyle w:val="Normal"/>
        <w:suppressAutoHyphens w:val="false"/>
        <w:spacing w:before="0" w:after="0"/>
        <w:ind w:firstLine="360"/>
        <w:contextualSpacing/>
        <w:jc w:val="both"/>
        <w:rPr>
          <w:sz w:val="22"/>
          <w:szCs w:val="22"/>
          <w:lang w:eastAsia="pl-PL"/>
        </w:rPr>
      </w:pPr>
      <w:r>
        <w:rPr>
          <w:sz w:val="22"/>
          <w:szCs w:val="22"/>
          <w:lang w:eastAsia="pl-PL"/>
        </w:rPr>
        <w:t>1)</w:t>
        <w:tab/>
        <w:t>oryginał dziennika budowy (jeżeli dotyczy),</w:t>
      </w:r>
    </w:p>
    <w:p>
      <w:pPr>
        <w:pStyle w:val="Normal"/>
        <w:suppressAutoHyphens w:val="false"/>
        <w:spacing w:before="0" w:after="0"/>
        <w:ind w:hanging="345" w:left="705"/>
        <w:contextualSpacing/>
        <w:jc w:val="both"/>
        <w:rPr>
          <w:sz w:val="22"/>
          <w:szCs w:val="22"/>
          <w:lang w:eastAsia="pl-PL"/>
        </w:rPr>
      </w:pPr>
      <w:r>
        <w:rPr>
          <w:sz w:val="22"/>
          <w:szCs w:val="22"/>
          <w:lang w:eastAsia="pl-PL"/>
        </w:rPr>
        <w:t>2)</w:t>
        <w:tab/>
        <w:tab/>
        <w:t>3 egzemplarze w formie papierowej i 2 egzemplarze na płycie CD (lub USB) kompletnej dokumentacji powykonawczej wraz z protokołami robót zanikowych (chyba że odbiory te zostały dokonane wpisami do dziennika budowy), protokołami sprawdzeń, instrukcjami obsługi i utrzymania urządzeń oraz całości systemów i instalacji (w języku polskim), wraz z inwentaryzacją geodezyjną wykonanych robót. Operat kolaudacyjny  zawierający m.in.: receptury i ustalenia technologiczne, protokoły oraz wyniki badań i sprawdzeń, atesty jakościowe, aprobaty techniczne, protokoły  z przeprowadzonych prób oraz zaświadczenia z odbiorów technicznych instalacji, instrukcje użytkowania poszczególnych urządzeń, instrukcję użytkowania dachu,</w:t>
      </w:r>
    </w:p>
    <w:p>
      <w:pPr>
        <w:pStyle w:val="Normal"/>
        <w:suppressAutoHyphens w:val="false"/>
        <w:spacing w:before="0" w:after="0"/>
        <w:ind w:hanging="345" w:left="705"/>
        <w:contextualSpacing/>
        <w:jc w:val="both"/>
        <w:rPr>
          <w:sz w:val="22"/>
          <w:szCs w:val="22"/>
          <w:lang w:eastAsia="pl-PL"/>
        </w:rPr>
      </w:pPr>
      <w:r>
        <w:rPr>
          <w:sz w:val="22"/>
          <w:szCs w:val="22"/>
          <w:lang w:eastAsia="pl-PL"/>
        </w:rPr>
        <w:t>3)</w:t>
        <w:tab/>
        <w:t xml:space="preserve">oświadczenie kierownika budowy zgodne z ustawą Prawo budowlane w zakresie niezbędnym                          do wystąpienia o pozwolenie na użytkowanie, </w:t>
      </w:r>
    </w:p>
    <w:p>
      <w:pPr>
        <w:pStyle w:val="Normal"/>
        <w:suppressAutoHyphens w:val="false"/>
        <w:spacing w:before="0" w:after="0"/>
        <w:ind w:hanging="345" w:left="705"/>
        <w:contextualSpacing/>
        <w:jc w:val="both"/>
        <w:rPr>
          <w:sz w:val="22"/>
          <w:szCs w:val="22"/>
          <w:lang w:eastAsia="pl-PL"/>
        </w:rPr>
      </w:pPr>
      <w:r>
        <w:rPr>
          <w:sz w:val="22"/>
          <w:szCs w:val="22"/>
          <w:lang w:eastAsia="pl-PL"/>
        </w:rPr>
        <w:t>4)</w:t>
        <w:tab/>
        <w:t xml:space="preserve">geodezyjną inwentaryzację powykonawczą dotyczącą zakresu robót Wykonawcy (jeżeli dotyczy), </w:t>
      </w:r>
    </w:p>
    <w:p>
      <w:pPr>
        <w:pStyle w:val="Normal"/>
        <w:suppressAutoHyphens w:val="false"/>
        <w:spacing w:before="0" w:after="0"/>
        <w:ind w:hanging="345" w:left="705"/>
        <w:contextualSpacing/>
        <w:jc w:val="both"/>
        <w:rPr>
          <w:sz w:val="22"/>
          <w:szCs w:val="22"/>
          <w:lang w:eastAsia="pl-PL"/>
        </w:rPr>
      </w:pPr>
      <w:r>
        <w:rPr>
          <w:sz w:val="22"/>
          <w:szCs w:val="22"/>
          <w:lang w:eastAsia="pl-PL"/>
        </w:rPr>
        <w:t>5)</w:t>
        <w:tab/>
        <w:t>inne dokumenty wynikające z art. 57 ustawy Prawo budowlane.</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lang w:eastAsia="pl-PL"/>
        </w:rPr>
        <w:t xml:space="preserve">Zwłoka w wykonaniu przez Wykonawcę zobowiązania określonego powyżej lub przekazanie dokumentacji niekompletnej lub wadliwej wstrzymuje pracę powołanej przez Zamawiającego komisji odbioru o czas niezbędny na uzupełnienie dokumentów lub usunięcie ich wad – zastosowanie mają postanowienia umowy dotyczące wad. </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eastAsia="Bookman Old Style" w:ascii="Times New Roman" w:hAnsi="Times New Roman"/>
          <w:szCs w:val="22"/>
        </w:rPr>
        <w:t>Jeżeli na skutek działania lub zaniechania wykonawcy dojdzie do awarii, usterki lub innej szkody, wykonawca zobowiązany jest do jej usunięcia lub naprawienia na własny koszt w wyznaczonym przez zamawiającego terminie.</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eastAsia="Bookman Old Style" w:ascii="Times New Roman" w:hAnsi="Times New Roman"/>
          <w:szCs w:val="22"/>
        </w:rPr>
        <w:t>Jeżeli wykonawca nie zrealizuje robót określonych w ust. 22 w terminie wskazanym, zamawiający zleci usunięcie awarii na koszt wykonawcy potrącając odpowiednie kwoty z przysługującego mu wynagrodzenia, lub wykorzystując środki w ramach zabezpieczenia należytego wykonania umowy.</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ascii="Times New Roman" w:hAnsi="Times New Roman"/>
          <w:szCs w:val="22"/>
        </w:rPr>
        <w:t>Materiały z rozbiórki nadające się do wykorzystania  stanowią własność Zamawiającego. Wykonawca odwiezie je na swój koszt na wskazane miejsce przez Zamawiającego – odległość transportu do 5 km (załadunek, transport, rozładunek). Materiały nadające się do wykorzystania Wykonawca uzgodni z Zarządem Dróg i Utrzymania Miasta w Tomaszowie Mazowieckim.</w:t>
      </w:r>
    </w:p>
    <w:p>
      <w:pPr>
        <w:pStyle w:val="WW-Tekstpodstawowy3"/>
        <w:numPr>
          <w:ilvl w:val="0"/>
          <w:numId w:val="3"/>
        </w:numPr>
        <w:tabs>
          <w:tab w:val="clear" w:pos="709"/>
          <w:tab w:val="left" w:pos="360" w:leader="none"/>
        </w:tabs>
        <w:ind w:hanging="360" w:left="360" w:right="-1"/>
        <w:rPr>
          <w:rFonts w:ascii="Times New Roman" w:hAnsi="Times New Roman"/>
          <w:szCs w:val="22"/>
        </w:rPr>
      </w:pPr>
      <w:r>
        <w:rPr>
          <w:rFonts w:eastAsia="Bookman Old Style" w:ascii="Times New Roman" w:hAnsi="Times New Roman"/>
          <w:szCs w:val="22"/>
        </w:rPr>
        <w:t>Wykonawca zobowiązany będzie do zapewnienia dojazdu do nieruchomości przyległych, minimalizowania utrudnień w dojeździe a w przypadkach konieczności zamknięcia dojazdu z uwagi na technologię robót do poinformowania zarządców nieruchomości z min. 5 dniowym wyprzedzeniem. Wyłączenie dojazdu może następować wyłącznie w zakresie niezbędnym do przeprowadzenia robót i musi być uzgodnione z nadzorem inwestorskim. Zamawiający przekaże Wykonawcy listę podmiotów do powiadomienia których Wykonawca będzie zobowiązany.</w:t>
      </w:r>
    </w:p>
    <w:p>
      <w:pPr>
        <w:pStyle w:val="Normalny1"/>
        <w:rPr>
          <w:rFonts w:eastAsia="Bookman Old Style"/>
          <w:b/>
          <w:bCs/>
          <w:sz w:val="22"/>
          <w:szCs w:val="22"/>
        </w:rPr>
      </w:pPr>
      <w:r>
        <w:rPr>
          <w:rFonts w:eastAsia="Bookman Old Style"/>
          <w:b/>
          <w:bCs/>
          <w:sz w:val="22"/>
          <w:szCs w:val="22"/>
        </w:rPr>
      </w:r>
    </w:p>
    <w:p>
      <w:pPr>
        <w:pStyle w:val="Normalny1"/>
        <w:ind w:hanging="360" w:left="360"/>
        <w:jc w:val="center"/>
        <w:rPr>
          <w:rFonts w:eastAsia="Bookman Old Style"/>
          <w:b/>
          <w:bCs/>
          <w:sz w:val="22"/>
          <w:szCs w:val="22"/>
        </w:rPr>
      </w:pPr>
      <w:r>
        <w:rPr>
          <w:rFonts w:eastAsia="Bookman Old Style"/>
          <w:b/>
          <w:bCs/>
          <w:sz w:val="22"/>
          <w:szCs w:val="22"/>
        </w:rPr>
        <w:t>§ 6.</w:t>
      </w:r>
    </w:p>
    <w:p>
      <w:pPr>
        <w:pStyle w:val="Normalny1"/>
        <w:jc w:val="center"/>
        <w:rPr>
          <w:rFonts w:eastAsia="Bookman Old Style"/>
          <w:b/>
          <w:bCs/>
          <w:sz w:val="22"/>
          <w:szCs w:val="22"/>
        </w:rPr>
      </w:pPr>
      <w:r>
        <w:rPr>
          <w:rFonts w:eastAsia="Bookman Old Style"/>
          <w:b/>
          <w:bCs/>
          <w:sz w:val="22"/>
          <w:szCs w:val="22"/>
        </w:rPr>
        <w:t>Gwarancja i rękojmia</w:t>
      </w:r>
    </w:p>
    <w:p>
      <w:pPr>
        <w:pStyle w:val="Normalny1"/>
        <w:jc w:val="center"/>
        <w:rPr>
          <w:rFonts w:eastAsia="Bookman Old Style"/>
          <w:b/>
          <w:bCs/>
          <w:sz w:val="22"/>
          <w:szCs w:val="22"/>
        </w:rPr>
      </w:pPr>
      <w:r>
        <w:rPr>
          <w:rFonts w:eastAsia="Bookman Old Style"/>
          <w:b/>
          <w:bCs/>
          <w:sz w:val="22"/>
          <w:szCs w:val="22"/>
        </w:rPr>
      </w:r>
    </w:p>
    <w:p>
      <w:pPr>
        <w:pStyle w:val="Normalny1"/>
        <w:numPr>
          <w:ilvl w:val="0"/>
          <w:numId w:val="9"/>
        </w:numPr>
        <w:ind w:hanging="426" w:left="426"/>
        <w:jc w:val="both"/>
        <w:rPr>
          <w:rFonts w:eastAsia="Bookman Old Style"/>
          <w:sz w:val="22"/>
          <w:szCs w:val="22"/>
        </w:rPr>
      </w:pPr>
      <w:r>
        <w:rPr>
          <w:rFonts w:eastAsia="Bookman Old Style"/>
          <w:sz w:val="22"/>
          <w:szCs w:val="22"/>
        </w:rPr>
        <w:t>Wykonawca udziela zamawiającemu ………</w:t>
      </w:r>
      <w:r>
        <w:rPr>
          <w:rFonts w:eastAsia="Bookman Old Style"/>
          <w:b/>
          <w:sz w:val="22"/>
          <w:szCs w:val="22"/>
        </w:rPr>
        <w:t xml:space="preserve">3/4/5 lat gwarancji jakości </w:t>
      </w:r>
      <w:r>
        <w:rPr>
          <w:rFonts w:eastAsia="Bookman Old Style"/>
          <w:i/>
          <w:sz w:val="22"/>
          <w:szCs w:val="22"/>
        </w:rPr>
        <w:t>(w zależności od wskazania w ofercie</w:t>
      </w:r>
      <w:r>
        <w:rPr>
          <w:rFonts w:eastAsia="Bookman Old Style"/>
          <w:b/>
          <w:sz w:val="22"/>
          <w:szCs w:val="22"/>
        </w:rPr>
        <w:t xml:space="preserve">) </w:t>
      </w:r>
      <w:r>
        <w:rPr>
          <w:rFonts w:eastAsia="Bookman Old Style"/>
          <w:sz w:val="22"/>
          <w:szCs w:val="22"/>
        </w:rPr>
        <w:t>na wykonanie całości przedmiotu zamówienia.</w:t>
      </w:r>
    </w:p>
    <w:p>
      <w:pPr>
        <w:pStyle w:val="Normalny1"/>
        <w:numPr>
          <w:ilvl w:val="0"/>
          <w:numId w:val="9"/>
        </w:numPr>
        <w:ind w:hanging="426" w:left="426"/>
        <w:jc w:val="both"/>
        <w:rPr>
          <w:rFonts w:eastAsia="Bookman Old Style"/>
          <w:sz w:val="22"/>
          <w:szCs w:val="22"/>
        </w:rPr>
      </w:pPr>
      <w:r>
        <w:rPr>
          <w:rFonts w:eastAsia="Bookman Old Style"/>
          <w:sz w:val="22"/>
          <w:szCs w:val="22"/>
        </w:rPr>
        <w:t>Termin gwarancji rozpoczyna swój bieg od daty bezusterkowego odbioru przedmiotu umowy. Termin gwarancji ulega przedłużeniu o czas pomiędzy zgłoszeniem awarii lub usterki, a jej skuteczną naprawą.</w:t>
      </w:r>
    </w:p>
    <w:p>
      <w:pPr>
        <w:pStyle w:val="Normalny1"/>
        <w:numPr>
          <w:ilvl w:val="0"/>
          <w:numId w:val="9"/>
        </w:numPr>
        <w:ind w:hanging="426" w:left="426"/>
        <w:jc w:val="both"/>
        <w:rPr>
          <w:rFonts w:eastAsia="Bookman Old Style"/>
          <w:sz w:val="22"/>
          <w:szCs w:val="22"/>
        </w:rPr>
      </w:pPr>
      <w:r>
        <w:rPr>
          <w:sz w:val="22"/>
          <w:szCs w:val="22"/>
        </w:rPr>
        <w:t>O wykryciu wady w okresie gwarancji lub rękojmi zamawiający zawiadomi wykonawcę na piśmie (faksem lub pocztą elektroniczną, a następnie pismem za pośrednictwem operatora publicznego).</w:t>
      </w:r>
    </w:p>
    <w:p>
      <w:pPr>
        <w:pStyle w:val="Normalny1"/>
        <w:numPr>
          <w:ilvl w:val="0"/>
          <w:numId w:val="9"/>
        </w:numPr>
        <w:ind w:hanging="426" w:left="426"/>
        <w:jc w:val="both"/>
        <w:rPr>
          <w:rFonts w:eastAsia="Bookman Old Style"/>
          <w:sz w:val="22"/>
          <w:szCs w:val="22"/>
        </w:rPr>
      </w:pPr>
      <w:r>
        <w:rPr>
          <w:sz w:val="22"/>
          <w:szCs w:val="22"/>
        </w:rPr>
        <w:t>Wykonawca odpowiada wobec zamawiającego za wady fizyczne i prawne wszelkich materialnych rezultatów usług i robót zgodnie z przepisami kodeksu cywilnego.</w:t>
      </w:r>
    </w:p>
    <w:p>
      <w:pPr>
        <w:pStyle w:val="Normalny1"/>
        <w:numPr>
          <w:ilvl w:val="0"/>
          <w:numId w:val="9"/>
        </w:numPr>
        <w:ind w:hanging="426" w:left="426"/>
        <w:jc w:val="both"/>
        <w:rPr>
          <w:rFonts w:eastAsia="Bookman Old Style"/>
          <w:sz w:val="22"/>
          <w:szCs w:val="22"/>
        </w:rPr>
      </w:pPr>
      <w:r>
        <w:rPr>
          <w:sz w:val="22"/>
          <w:szCs w:val="22"/>
        </w:rPr>
        <w:t>Przez wadę rozumie się w szczególności jakąkolwiek niezgodność przedmiotu umowy z dokumentacją projektową, przepisami, normami i wytycznymi zamawiającego oraz wytycznymi organów opiniujących, uzgadniających oraz uczestniczących w procedurach odbiorowych.</w:t>
      </w:r>
    </w:p>
    <w:p>
      <w:pPr>
        <w:pStyle w:val="Normalny1"/>
        <w:numPr>
          <w:ilvl w:val="0"/>
          <w:numId w:val="9"/>
        </w:numPr>
        <w:ind w:hanging="426" w:left="426"/>
        <w:jc w:val="both"/>
        <w:rPr>
          <w:rFonts w:eastAsia="Bookman Old Style"/>
          <w:sz w:val="22"/>
          <w:szCs w:val="22"/>
        </w:rPr>
      </w:pPr>
      <w:r>
        <w:rPr>
          <w:rFonts w:eastAsia="Bookman Old Style"/>
          <w:sz w:val="22"/>
          <w:szCs w:val="22"/>
        </w:rPr>
        <w:t>W okresie gwarancji wykonawca zobowiązany jest dokonać naprawy usterki lub wady lub dokonać wymiany elementu na nowy, wolny od wad, w terminie wskazanym przez zamawiającego nie dłuższym jednak niż 14 dni od daty jego powiadomienia.</w:t>
      </w:r>
    </w:p>
    <w:p>
      <w:pPr>
        <w:pStyle w:val="Normalny1"/>
        <w:numPr>
          <w:ilvl w:val="0"/>
          <w:numId w:val="9"/>
        </w:numPr>
        <w:ind w:hanging="426" w:left="426"/>
        <w:jc w:val="both"/>
        <w:rPr>
          <w:rFonts w:eastAsia="Bookman Old Style"/>
          <w:sz w:val="22"/>
          <w:szCs w:val="22"/>
        </w:rPr>
      </w:pPr>
      <w:r>
        <w:rPr>
          <w:rFonts w:eastAsia="Bookman Old Style"/>
          <w:sz w:val="22"/>
          <w:szCs w:val="22"/>
        </w:rPr>
        <w:t>Jeżeli wykonawca mimo zgłoszenia zamawiającego, nie usunie usterek lub wad w terminie, o którym mowa w ust. 6, to zamawiający zleci ich usunięcie podmiotom trzecim na koszt wykonawcy naliczając odpowiednie kary umowne. Kara będzie liczona od upływu terminu wskazanego w ust. 6 do dnia usunięcia usterek lub wad przez podmiot trzeci.</w:t>
      </w:r>
    </w:p>
    <w:p>
      <w:pPr>
        <w:pStyle w:val="Normalny1"/>
        <w:numPr>
          <w:ilvl w:val="0"/>
          <w:numId w:val="9"/>
        </w:numPr>
        <w:ind w:hanging="426" w:left="426"/>
        <w:jc w:val="both"/>
        <w:rPr>
          <w:rFonts w:eastAsia="Bookman Old Style"/>
          <w:sz w:val="22"/>
          <w:szCs w:val="22"/>
        </w:rPr>
      </w:pPr>
      <w:r>
        <w:rPr>
          <w:rFonts w:eastAsia="Bookman Old Style"/>
          <w:sz w:val="22"/>
          <w:szCs w:val="22"/>
        </w:rPr>
        <w:t>Gwarancja i rękojmia obejmuje w pełnym zakresie również prace wykonane przez podwykonawców, dalszych podwykonawców lub inne osoby i podmioty działające w imieniu i na rzecz wykonawcy.</w:t>
      </w:r>
    </w:p>
    <w:p>
      <w:pPr>
        <w:pStyle w:val="Normalny1"/>
        <w:numPr>
          <w:ilvl w:val="0"/>
          <w:numId w:val="9"/>
        </w:numPr>
        <w:ind w:hanging="426" w:left="426"/>
        <w:jc w:val="both"/>
        <w:rPr>
          <w:rFonts w:eastAsia="Bookman Old Style"/>
          <w:sz w:val="22"/>
          <w:szCs w:val="22"/>
        </w:rPr>
      </w:pPr>
      <w:r>
        <w:rPr>
          <w:rFonts w:eastAsia="Bookman Old Style"/>
          <w:sz w:val="22"/>
          <w:szCs w:val="22"/>
        </w:rPr>
        <w:t>Uprawnienia z tytułu rękojmi za wady będą przysługiwać zamawiającemu w zakresach wynikających                 z Kodeksu cywilnego i będą dochodzone niezależnie od uprawnień wynikających z udzielonej gwarancji. Termin rękojmi za wady będzie równy z okresem udzielonej gwarancji.</w:t>
      </w:r>
    </w:p>
    <w:p>
      <w:pPr>
        <w:pStyle w:val="Normalny1"/>
        <w:numPr>
          <w:ilvl w:val="0"/>
          <w:numId w:val="9"/>
        </w:numPr>
        <w:ind w:hanging="426" w:left="426"/>
        <w:jc w:val="both"/>
        <w:rPr>
          <w:rFonts w:eastAsia="Bookman Old Style"/>
          <w:sz w:val="22"/>
          <w:szCs w:val="22"/>
        </w:rPr>
      </w:pPr>
      <w:r>
        <w:rPr>
          <w:sz w:val="22"/>
          <w:szCs w:val="22"/>
        </w:rPr>
        <w:t>Zamawiający może dochodzić roszczeń z tytułu gwarancji i rękojmi także po upływie ich terminu, jeżeli zgłosił wadę przed upływem tego terminu.</w:t>
      </w:r>
    </w:p>
    <w:p>
      <w:pPr>
        <w:pStyle w:val="Normalny1"/>
        <w:jc w:val="center"/>
        <w:rPr>
          <w:rFonts w:eastAsia="Bookman Old Style"/>
          <w:b/>
          <w:bCs/>
          <w:sz w:val="22"/>
          <w:szCs w:val="22"/>
        </w:rPr>
      </w:pPr>
      <w:r>
        <w:rPr>
          <w:rFonts w:eastAsia="Bookman Old Style"/>
          <w:b/>
          <w:bCs/>
          <w:sz w:val="22"/>
          <w:szCs w:val="22"/>
        </w:rPr>
      </w:r>
    </w:p>
    <w:p>
      <w:pPr>
        <w:pStyle w:val="Normalny1"/>
        <w:jc w:val="both"/>
        <w:rPr>
          <w:rFonts w:eastAsia="Bookman Old Style"/>
          <w:bCs/>
          <w:sz w:val="16"/>
          <w:szCs w:val="16"/>
        </w:rPr>
      </w:pPr>
      <w:r>
        <w:rPr>
          <w:rFonts w:eastAsia="Bookman Old Style"/>
          <w:bCs/>
          <w:sz w:val="16"/>
          <w:szCs w:val="16"/>
        </w:rPr>
      </w:r>
    </w:p>
    <w:p>
      <w:pPr>
        <w:pStyle w:val="Normalny1"/>
        <w:ind w:hanging="360" w:left="426"/>
        <w:jc w:val="center"/>
        <w:rPr>
          <w:rFonts w:eastAsia="Bookman Old Style"/>
          <w:b/>
          <w:bCs/>
          <w:sz w:val="22"/>
          <w:szCs w:val="22"/>
        </w:rPr>
      </w:pPr>
      <w:r>
        <w:rPr>
          <w:rFonts w:eastAsia="Bookman Old Style"/>
          <w:b/>
          <w:bCs/>
          <w:sz w:val="22"/>
          <w:szCs w:val="22"/>
        </w:rPr>
        <w:t>§ 7.</w:t>
      </w:r>
    </w:p>
    <w:p>
      <w:pPr>
        <w:pStyle w:val="Normalny1"/>
        <w:ind w:hanging="426" w:left="426"/>
        <w:jc w:val="center"/>
        <w:rPr>
          <w:rFonts w:eastAsia="Bookman Old Style"/>
          <w:b/>
          <w:bCs/>
          <w:sz w:val="22"/>
          <w:szCs w:val="22"/>
        </w:rPr>
      </w:pPr>
      <w:r>
        <w:rPr>
          <w:rFonts w:eastAsia="Bookman Old Style"/>
          <w:b/>
          <w:bCs/>
          <w:sz w:val="22"/>
          <w:szCs w:val="22"/>
        </w:rPr>
        <w:t>Zmiany umowy</w:t>
      </w:r>
    </w:p>
    <w:p>
      <w:pPr>
        <w:pStyle w:val="Normalny1"/>
        <w:ind w:hanging="426" w:left="426"/>
        <w:jc w:val="center"/>
        <w:rPr>
          <w:rFonts w:eastAsia="Bookman Old Style"/>
          <w:bCs/>
          <w:sz w:val="16"/>
          <w:szCs w:val="16"/>
        </w:rPr>
      </w:pPr>
      <w:r>
        <w:rPr>
          <w:rFonts w:eastAsia="Bookman Old Style"/>
          <w:bCs/>
          <w:sz w:val="16"/>
          <w:szCs w:val="16"/>
        </w:rPr>
      </w:r>
    </w:p>
    <w:p>
      <w:pPr>
        <w:pStyle w:val="Normal"/>
        <w:numPr>
          <w:ilvl w:val="0"/>
          <w:numId w:val="1"/>
        </w:numPr>
        <w:tabs>
          <w:tab w:val="clear" w:pos="709"/>
        </w:tabs>
        <w:ind w:hanging="426" w:left="426"/>
        <w:jc w:val="both"/>
        <w:rPr>
          <w:sz w:val="22"/>
          <w:szCs w:val="22"/>
        </w:rPr>
      </w:pPr>
      <w:r>
        <w:rPr>
          <w:sz w:val="22"/>
          <w:szCs w:val="22"/>
        </w:rPr>
        <w:t>Zamawiający dopuszcza możliwość zmiany postanowień umowy w zakresie terminu realizacji zamówienia, technologii wykonywania robót, wynagrodzenia na zasadach określonych w ust. 3-9.</w:t>
      </w:r>
    </w:p>
    <w:p>
      <w:pPr>
        <w:pStyle w:val="Normal"/>
        <w:numPr>
          <w:ilvl w:val="0"/>
          <w:numId w:val="1"/>
        </w:numPr>
        <w:tabs>
          <w:tab w:val="clear" w:pos="709"/>
        </w:tabs>
        <w:ind w:hanging="426" w:left="426"/>
        <w:jc w:val="both"/>
        <w:rPr>
          <w:sz w:val="22"/>
          <w:szCs w:val="22"/>
        </w:rPr>
      </w:pPr>
      <w:r>
        <w:rPr>
          <w:sz w:val="22"/>
          <w:szCs w:val="22"/>
        </w:rPr>
        <w:t>Pozostałe dopuszczalne zmiany umowy zostały określone w ust. 10-27.</w:t>
      </w:r>
    </w:p>
    <w:p>
      <w:pPr>
        <w:pStyle w:val="Normal"/>
        <w:numPr>
          <w:ilvl w:val="0"/>
          <w:numId w:val="1"/>
        </w:numPr>
        <w:tabs>
          <w:tab w:val="clear" w:pos="709"/>
        </w:tabs>
        <w:ind w:hanging="426" w:left="426"/>
        <w:jc w:val="both"/>
        <w:rPr>
          <w:sz w:val="22"/>
          <w:szCs w:val="22"/>
        </w:rPr>
      </w:pPr>
      <w:r>
        <w:rPr>
          <w:sz w:val="22"/>
          <w:szCs w:val="22"/>
        </w:rPr>
        <w:t>Zmiana terminu realizacji może nastąpić w przypadku zaistnienia następujących okoliczności, o ile będą miały wpływ na zmianę terminu:</w:t>
      </w:r>
    </w:p>
    <w:p>
      <w:pPr>
        <w:pStyle w:val="Normal"/>
        <w:ind w:hanging="426" w:left="426"/>
        <w:jc w:val="both"/>
        <w:rPr>
          <w:sz w:val="22"/>
          <w:szCs w:val="22"/>
          <w:lang w:eastAsia="pl-PL"/>
        </w:rPr>
      </w:pPr>
      <w:r>
        <w:rPr>
          <w:sz w:val="22"/>
          <w:szCs w:val="22"/>
        </w:rPr>
        <w:t>1)</w:t>
        <w:tab/>
      </w:r>
      <w:r>
        <w:rPr>
          <w:sz w:val="22"/>
          <w:szCs w:val="22"/>
          <w:lang w:eastAsia="pl-PL"/>
        </w:rPr>
        <w:t>działania siły wyższej, za którą uważa się zdarzenia o charakterze nadzwyczajnym, występujące po zawarciu umowy, a których strony umowy nie były w stanie przewidzieć w momencie jej zawierania                    i których zaistnienie lub skutki uniemożliwiają wykonanie umowy zgodnie z jej treścią w szczególności: powódź, akty wandalizmu, awarie, katastrofy, zgony, stany epidemii, pandemii, działania militarne, wprowadzenie stanów nadzwyczajnych,</w:t>
      </w:r>
    </w:p>
    <w:p>
      <w:pPr>
        <w:pStyle w:val="Normal"/>
        <w:ind w:hanging="426" w:left="426"/>
        <w:jc w:val="both"/>
        <w:rPr>
          <w:sz w:val="22"/>
          <w:szCs w:val="22"/>
        </w:rPr>
      </w:pPr>
      <w:r>
        <w:rPr>
          <w:sz w:val="22"/>
          <w:szCs w:val="22"/>
          <w:lang w:eastAsia="pl-PL"/>
        </w:rPr>
        <w:t>2)</w:t>
        <w:tab/>
      </w:r>
      <w:r>
        <w:rPr>
          <w:sz w:val="22"/>
          <w:szCs w:val="22"/>
        </w:rPr>
        <w:t>konieczności realizacji robót zamiennych lub zaniechania realizacji części robót,</w:t>
      </w:r>
    </w:p>
    <w:p>
      <w:pPr>
        <w:pStyle w:val="Normal"/>
        <w:ind w:hanging="426" w:left="426"/>
        <w:jc w:val="both"/>
        <w:rPr>
          <w:sz w:val="22"/>
          <w:szCs w:val="22"/>
        </w:rPr>
      </w:pPr>
      <w:r>
        <w:rPr>
          <w:sz w:val="22"/>
          <w:szCs w:val="22"/>
        </w:rPr>
        <w:t>3)</w:t>
        <w:tab/>
        <w:t>działań mających na celu niezwłoczne usunięcie bezpośredniego zagrożenia bezpieczeństwa ludzi  lub mienia,</w:t>
      </w:r>
    </w:p>
    <w:p>
      <w:pPr>
        <w:pStyle w:val="Normal"/>
        <w:ind w:hanging="426" w:left="426"/>
        <w:jc w:val="both"/>
        <w:rPr>
          <w:sz w:val="22"/>
          <w:szCs w:val="22"/>
        </w:rPr>
      </w:pPr>
      <w:r>
        <w:rPr>
          <w:sz w:val="22"/>
          <w:szCs w:val="22"/>
        </w:rPr>
        <w:t>4)</w:t>
        <w:tab/>
        <w:t>wytycznych podmiotów zewnętrznych lub opinii branżowych,</w:t>
      </w:r>
    </w:p>
    <w:p>
      <w:pPr>
        <w:pStyle w:val="Normal"/>
        <w:ind w:hanging="426" w:left="426"/>
        <w:jc w:val="both"/>
        <w:rPr>
          <w:sz w:val="22"/>
          <w:szCs w:val="22"/>
        </w:rPr>
      </w:pPr>
      <w:r>
        <w:rPr>
          <w:sz w:val="22"/>
          <w:szCs w:val="22"/>
        </w:rPr>
        <w:t>5)</w:t>
        <w:tab/>
        <w:t>zmiany przepisów prawa mających wpływ na zakres lub termin wykonania przedmiotu umowy,</w:t>
      </w:r>
    </w:p>
    <w:p>
      <w:pPr>
        <w:pStyle w:val="Normal"/>
        <w:ind w:hanging="426" w:left="426"/>
        <w:jc w:val="both"/>
        <w:rPr>
          <w:sz w:val="22"/>
          <w:szCs w:val="22"/>
        </w:rPr>
      </w:pPr>
      <w:r>
        <w:rPr>
          <w:sz w:val="22"/>
          <w:szCs w:val="22"/>
        </w:rPr>
        <w:t>6)</w:t>
        <w:tab/>
        <w:t>realizacji przez innych wykonawców w drodze odrębnej umowy prac powiązanych z przedmiotem niniejszej umowy wymuszającej konieczność skoordynowania prac i uwzględnienia wzajemnych powiązań,</w:t>
      </w:r>
    </w:p>
    <w:p>
      <w:pPr>
        <w:pStyle w:val="Normal"/>
        <w:ind w:hanging="426" w:left="426"/>
        <w:jc w:val="both"/>
        <w:rPr>
          <w:sz w:val="22"/>
          <w:szCs w:val="22"/>
          <w:lang w:eastAsia="pl-PL"/>
        </w:rPr>
      </w:pPr>
      <w:r>
        <w:rPr>
          <w:sz w:val="22"/>
          <w:szCs w:val="22"/>
        </w:rPr>
        <w:t>7)</w:t>
        <w:tab/>
      </w:r>
      <w:r>
        <w:rPr>
          <w:sz w:val="22"/>
          <w:szCs w:val="22"/>
          <w:lang w:eastAsia="pl-PL"/>
        </w:rPr>
        <w:t>przedłużających się w stosunku do obowiązujących przepisów, procedur i postępowań administracyjnych, cywilnych, karnych, lub innych w szczególności wydania przez uprawnione organy decyzji  o wstrzymaniu robót z powodów, za które wykonawca nie ponosi odpowiedzialności,</w:t>
      </w:r>
    </w:p>
    <w:p>
      <w:pPr>
        <w:pStyle w:val="Normal"/>
        <w:ind w:hanging="426" w:left="426"/>
        <w:jc w:val="both"/>
        <w:rPr>
          <w:sz w:val="22"/>
          <w:szCs w:val="22"/>
        </w:rPr>
      </w:pPr>
      <w:r>
        <w:rPr>
          <w:sz w:val="22"/>
          <w:szCs w:val="22"/>
          <w:lang w:eastAsia="pl-PL"/>
        </w:rPr>
        <w:t>8)</w:t>
        <w:tab/>
      </w:r>
      <w:r>
        <w:rPr>
          <w:sz w:val="22"/>
          <w:szCs w:val="22"/>
        </w:rPr>
        <w:t>zmian korzystnych dla zamawiającego, w szczególności zmierzających do przyspieszenia zakończenia robót, zmniejszających koszty, poprawiających sprawność, jakość, efekt robót, konieczności zmian dokumentacji projektowej, jeżeli będą mogły mieć wpływ na dotrzymanie terminu zakończenia robót lub zwiększenia ich wartości,</w:t>
      </w:r>
    </w:p>
    <w:p>
      <w:pPr>
        <w:pStyle w:val="Normal"/>
        <w:ind w:hanging="426" w:left="426"/>
        <w:jc w:val="both"/>
        <w:rPr>
          <w:sz w:val="22"/>
          <w:szCs w:val="22"/>
        </w:rPr>
      </w:pPr>
      <w:r>
        <w:rPr>
          <w:sz w:val="22"/>
          <w:szCs w:val="22"/>
        </w:rPr>
        <w:t>9)</w:t>
        <w:tab/>
        <w:t>napotkania niezinwentaryzowanych lub błędnie zinwentaryzowanych sieci, instalacji lub innych obiektów budowlanych, które wpływają na tempo wykonywanych robót,</w:t>
      </w:r>
    </w:p>
    <w:p>
      <w:pPr>
        <w:pStyle w:val="Normal"/>
        <w:ind w:hanging="426" w:left="426"/>
        <w:jc w:val="both"/>
        <w:rPr>
          <w:sz w:val="22"/>
          <w:szCs w:val="22"/>
          <w:lang w:eastAsia="pl-PL"/>
        </w:rPr>
      </w:pPr>
      <w:r>
        <w:rPr>
          <w:sz w:val="22"/>
          <w:szCs w:val="22"/>
        </w:rPr>
        <w:t>10)</w:t>
        <w:tab/>
      </w:r>
      <w:r>
        <w:rPr>
          <w:sz w:val="22"/>
          <w:szCs w:val="22"/>
          <w:lang w:eastAsia="pl-PL"/>
        </w:rPr>
        <w:t>wystąpienia warunków pogodowych niepozwalających na wykonanie zamówienia lub spowalniających wykonanie prac,</w:t>
      </w:r>
    </w:p>
    <w:p>
      <w:pPr>
        <w:pStyle w:val="Normal"/>
        <w:ind w:hanging="426" w:left="426"/>
        <w:jc w:val="both"/>
        <w:rPr>
          <w:sz w:val="22"/>
          <w:szCs w:val="22"/>
        </w:rPr>
      </w:pPr>
      <w:r>
        <w:rPr>
          <w:sz w:val="22"/>
          <w:szCs w:val="22"/>
          <w:lang w:eastAsia="pl-PL"/>
        </w:rPr>
        <w:t>11)</w:t>
        <w:tab/>
        <w:t>innych od wyżej przywołanych okoliczności, niezależnych od stron - pod warunkiem wyrażenia zgody przez zamawiającego.</w:t>
      </w:r>
    </w:p>
    <w:p>
      <w:pPr>
        <w:pStyle w:val="Normal"/>
        <w:numPr>
          <w:ilvl w:val="0"/>
          <w:numId w:val="1"/>
        </w:numPr>
        <w:tabs>
          <w:tab w:val="clear" w:pos="709"/>
        </w:tabs>
        <w:ind w:hanging="426" w:left="426"/>
        <w:jc w:val="both"/>
        <w:rPr>
          <w:sz w:val="22"/>
          <w:szCs w:val="22"/>
        </w:rPr>
      </w:pPr>
      <w:r>
        <w:rPr>
          <w:sz w:val="22"/>
          <w:szCs w:val="22"/>
          <w:lang w:eastAsia="pl-PL"/>
        </w:rPr>
        <w:t>Jeżeli zajdą okoliczności uzasadniające zmniejszenie ilości wykonywanych na podstawie niniejszej umowy robót lub rezygnacji z określonych ich elementów, w szczególności w wyniku ich realizacji przez podmioty trzecie (np. gestorów lub właścicieli infrastruktury technicznej), wynagrodzenie wykonawcy zostanie zmniejszone zgodnie ze stawkami określonymi w kosztorysie ofertowym, a w przypadku braku określonej pozycji w kosztorysie w oparciu o uśrednione wskaźniki do kosztorysowania dla województwa łódzkiego wg. wydawnictw branżowych (np. Sekocenbud, Orgbud, Intercenbud).</w:t>
      </w:r>
    </w:p>
    <w:p>
      <w:pPr>
        <w:pStyle w:val="Normal"/>
        <w:numPr>
          <w:ilvl w:val="0"/>
          <w:numId w:val="1"/>
        </w:numPr>
        <w:tabs>
          <w:tab w:val="clear" w:pos="709"/>
        </w:tabs>
        <w:ind w:hanging="426" w:left="426"/>
        <w:jc w:val="both"/>
        <w:rPr>
          <w:strike/>
          <w:sz w:val="22"/>
          <w:szCs w:val="22"/>
        </w:rPr>
      </w:pPr>
      <w:r>
        <w:rPr>
          <w:sz w:val="22"/>
          <w:szCs w:val="22"/>
        </w:rPr>
        <w:t>Za zgodą zamawiającego, możliwa jest zmiana technologii, sposobu realizacji robót, stosowanych materiałów, rozwiązań technicznych itp. Zmiana taka możliwa jest w przypadku, gdy proponowane rozwiązanie jest równorzędne lub lepsze funkcjonalnie, jakościowo, technicznie od przewidzianego                    w dokumentacji projektowej w tym także, gdy niesie za sobą zwiększenie kosztów. Zmiana taka nastąpi tylko po przekazaniu stosownego wniosku wykonawcy wraz z uzasadnieniem konieczności wprowadzenia zmian, a tym samym nie naruszając postanowień zaświadczenia ze Starostwa Powiatowego.</w:t>
      </w:r>
    </w:p>
    <w:p>
      <w:pPr>
        <w:pStyle w:val="Normal"/>
        <w:numPr>
          <w:ilvl w:val="0"/>
          <w:numId w:val="1"/>
        </w:numPr>
        <w:tabs>
          <w:tab w:val="clear" w:pos="709"/>
        </w:tabs>
        <w:ind w:hanging="426" w:left="426"/>
        <w:jc w:val="both"/>
        <w:rPr>
          <w:sz w:val="22"/>
          <w:szCs w:val="22"/>
        </w:rPr>
      </w:pPr>
      <w:r>
        <w:rPr>
          <w:sz w:val="22"/>
          <w:szCs w:val="22"/>
        </w:rPr>
        <w:t>Jeżeli w wyniku dokonanych na podstawie ust. 5 zmian dojdzie do obniżenia kosztów realizacji przedmiotu umowy wynagrodzenie wykonawcy zostanie odpowiednio obniżone zgodnie z ust. 4.</w:t>
      </w:r>
    </w:p>
    <w:p>
      <w:pPr>
        <w:pStyle w:val="Normal"/>
        <w:numPr>
          <w:ilvl w:val="0"/>
          <w:numId w:val="1"/>
        </w:numPr>
        <w:tabs>
          <w:tab w:val="clear" w:pos="709"/>
        </w:tabs>
        <w:ind w:hanging="426" w:left="426"/>
        <w:jc w:val="both"/>
        <w:rPr>
          <w:sz w:val="22"/>
          <w:szCs w:val="22"/>
        </w:rPr>
      </w:pPr>
      <w:r>
        <w:rPr>
          <w:sz w:val="22"/>
          <w:szCs w:val="22"/>
        </w:rPr>
        <w:t xml:space="preserve">Zamawiający dopuszcza zmianę wysokości wynagrodzenia należnego wykonawcy, w przypadku zmiany: </w:t>
      </w:r>
    </w:p>
    <w:p>
      <w:pPr>
        <w:pStyle w:val="ListParagraph"/>
        <w:numPr>
          <w:ilvl w:val="1"/>
          <w:numId w:val="1"/>
        </w:numPr>
        <w:jc w:val="both"/>
        <w:rPr>
          <w:color w:val="auto"/>
          <w:sz w:val="22"/>
          <w:szCs w:val="22"/>
        </w:rPr>
      </w:pPr>
      <w:r>
        <w:rPr>
          <w:color w:val="auto"/>
          <w:sz w:val="22"/>
          <w:szCs w:val="22"/>
          <w:lang w:eastAsia="pl-PL"/>
        </w:rPr>
        <w:t xml:space="preserve">stawki podatku od towarów i usług oraz podatku akcyzowego, </w:t>
      </w:r>
    </w:p>
    <w:p>
      <w:pPr>
        <w:pStyle w:val="ListParagraph"/>
        <w:numPr>
          <w:ilvl w:val="1"/>
          <w:numId w:val="1"/>
        </w:numPr>
        <w:jc w:val="both"/>
        <w:rPr>
          <w:color w:val="auto"/>
          <w:sz w:val="22"/>
          <w:szCs w:val="22"/>
        </w:rPr>
      </w:pPr>
      <w:r>
        <w:rPr>
          <w:sz w:val="22"/>
          <w:szCs w:val="22"/>
          <w:lang w:eastAsia="pl-PL"/>
        </w:rPr>
        <w:t xml:space="preserve">wysokości minimalnego wynagrodzenia za pracę albo wysokości minimalnej stawki godzinowej, ustalonych na podstawie ustawy z dnia 10 października 2002 r. o minimalnym wynagrodzeniu                     za pracę, </w:t>
      </w:r>
    </w:p>
    <w:p>
      <w:pPr>
        <w:pStyle w:val="ListParagraph"/>
        <w:numPr>
          <w:ilvl w:val="1"/>
          <w:numId w:val="1"/>
        </w:numPr>
        <w:jc w:val="both"/>
        <w:rPr>
          <w:color w:val="auto"/>
          <w:sz w:val="22"/>
          <w:szCs w:val="22"/>
        </w:rPr>
      </w:pPr>
      <w:r>
        <w:rPr>
          <w:sz w:val="22"/>
          <w:szCs w:val="22"/>
          <w:lang w:eastAsia="pl-PL"/>
        </w:rPr>
        <w:t xml:space="preserve">zasad podlegania ubezpieczeniom społecznym lub ubezpieczeniu zdrowotnemu lub wysokości stawki składki na ubezpieczenia społeczne lub ubezpieczenie zdrowotne, </w:t>
      </w:r>
    </w:p>
    <w:p>
      <w:pPr>
        <w:pStyle w:val="ListParagraph"/>
        <w:numPr>
          <w:ilvl w:val="1"/>
          <w:numId w:val="1"/>
        </w:numPr>
        <w:jc w:val="both"/>
        <w:rPr>
          <w:color w:val="auto"/>
          <w:sz w:val="22"/>
          <w:szCs w:val="22"/>
        </w:rPr>
      </w:pPr>
      <w:r>
        <w:rPr>
          <w:sz w:val="22"/>
          <w:szCs w:val="22"/>
          <w:lang w:eastAsia="pl-PL"/>
        </w:rPr>
        <w:t>zasad gromadzenia i wysokości wpłat do pracowniczych planów kapitałowych, o których mowa              w ustawie z dnia 4 października 2018 r. o pracowniczych planach kapitałowych,</w:t>
      </w:r>
    </w:p>
    <w:p>
      <w:pPr>
        <w:pStyle w:val="Normal"/>
        <w:ind w:left="426"/>
        <w:jc w:val="both"/>
        <w:rPr>
          <w:sz w:val="22"/>
          <w:szCs w:val="22"/>
          <w:lang w:eastAsia="pl-PL"/>
        </w:rPr>
      </w:pPr>
      <w:r>
        <w:rPr>
          <w:sz w:val="22"/>
          <w:szCs w:val="22"/>
          <w:lang w:eastAsia="pl-PL"/>
        </w:rPr>
        <w:t xml:space="preserve">‒ </w:t>
      </w:r>
      <w:r>
        <w:rPr>
          <w:sz w:val="22"/>
          <w:szCs w:val="22"/>
          <w:lang w:eastAsia="pl-PL"/>
        </w:rPr>
        <w:tab/>
        <w:t>jeżeli zmiany te będą miały wpływ na koszty wykonania zamówienia przez wykonawcę.</w:t>
      </w:r>
    </w:p>
    <w:p>
      <w:pPr>
        <w:pStyle w:val="Normalny1"/>
        <w:numPr>
          <w:ilvl w:val="0"/>
          <w:numId w:val="1"/>
        </w:numPr>
        <w:tabs>
          <w:tab w:val="clear" w:pos="709"/>
        </w:tabs>
        <w:ind w:hanging="426" w:left="426"/>
        <w:jc w:val="both"/>
        <w:rPr>
          <w:rFonts w:eastAsia="Bookman Old Style"/>
          <w:sz w:val="22"/>
          <w:szCs w:val="22"/>
        </w:rPr>
      </w:pPr>
      <w:r>
        <w:rPr>
          <w:sz w:val="22"/>
          <w:szCs w:val="22"/>
        </w:rPr>
        <w:t xml:space="preserve">W przypadku zmiany, o której mowa w ust. 7 - wykonawca zobowiązany jest wykazać wpływ zmiany regulacji na koszty wykonania przedmiotowego zamówienia przedstawiając stosowne dokumenty lub oświadczenia. </w:t>
      </w:r>
    </w:p>
    <w:p>
      <w:pPr>
        <w:pStyle w:val="Normalny1"/>
        <w:numPr>
          <w:ilvl w:val="0"/>
          <w:numId w:val="1"/>
        </w:numPr>
        <w:tabs>
          <w:tab w:val="clear" w:pos="709"/>
        </w:tabs>
        <w:ind w:hanging="426" w:left="426"/>
        <w:jc w:val="both"/>
        <w:rPr>
          <w:rFonts w:eastAsia="Bookman Old Style"/>
          <w:sz w:val="22"/>
          <w:szCs w:val="22"/>
        </w:rPr>
      </w:pPr>
      <w:r>
        <w:rPr>
          <w:sz w:val="22"/>
          <w:szCs w:val="22"/>
          <w:lang w:eastAsia="pl-PL"/>
        </w:rPr>
        <w:t xml:space="preserve">Zamawiający dopuszcza możliwość zmiany osób kluczowych dla realizacji umowy, w szczególności kierowników/koordynatorów robót lub budowy. W przypadku zmian proponowanych przez wykonawcę wraz z odpowiednim wnioskiem przekazywane są odpowiednie dokumenty potwierdzające uprawnienia               i kwalifikacje zawodowe z zastrzeżeniem, iż muszą być one co najmniej takie same jak wymagane na etapie postępowania o zamówienie publiczne. </w:t>
      </w:r>
    </w:p>
    <w:p>
      <w:pPr>
        <w:pStyle w:val="Normalny1"/>
        <w:numPr>
          <w:ilvl w:val="0"/>
          <w:numId w:val="1"/>
        </w:numPr>
        <w:tabs>
          <w:tab w:val="clear" w:pos="709"/>
        </w:tabs>
        <w:ind w:hanging="426" w:left="426"/>
        <w:jc w:val="both"/>
        <w:rPr>
          <w:rFonts w:eastAsia="Bookman Old Style"/>
          <w:sz w:val="22"/>
          <w:szCs w:val="22"/>
        </w:rPr>
      </w:pPr>
      <w:r>
        <w:rPr>
          <w:sz w:val="22"/>
          <w:szCs w:val="22"/>
        </w:rPr>
        <w:t xml:space="preserve">Zmiana nr rachunku wykonawcy może nastąpić na podstawie wniosku złożonego przez wykonawcę podpisanego przez osobę uprawnioną do reprezentacji. </w:t>
      </w:r>
    </w:p>
    <w:p>
      <w:pPr>
        <w:pStyle w:val="Normalny1"/>
        <w:numPr>
          <w:ilvl w:val="0"/>
          <w:numId w:val="1"/>
        </w:numPr>
        <w:tabs>
          <w:tab w:val="clear" w:pos="709"/>
        </w:tabs>
        <w:ind w:hanging="426" w:left="426"/>
        <w:jc w:val="both"/>
        <w:rPr>
          <w:rFonts w:eastAsia="Bookman Old Style"/>
          <w:sz w:val="22"/>
          <w:szCs w:val="22"/>
        </w:rPr>
      </w:pPr>
      <w:r>
        <w:rPr>
          <w:sz w:val="22"/>
          <w:szCs w:val="22"/>
        </w:rPr>
        <w:t>Zmiana, o której mowa powyżej nastąpi w formie aneksu do umowy, a wniosek winien być złożony najpóźniej na 10 dni przed planowanym rozliczeniem.</w:t>
      </w:r>
    </w:p>
    <w:p>
      <w:pPr>
        <w:pStyle w:val="Normalny1"/>
        <w:numPr>
          <w:ilvl w:val="0"/>
          <w:numId w:val="1"/>
        </w:numPr>
        <w:tabs>
          <w:tab w:val="clear" w:pos="709"/>
        </w:tabs>
        <w:ind w:hanging="426" w:left="426"/>
        <w:jc w:val="both"/>
        <w:rPr>
          <w:rFonts w:eastAsia="Bookman Old Style"/>
          <w:sz w:val="22"/>
          <w:szCs w:val="22"/>
        </w:rPr>
      </w:pPr>
      <w:r>
        <w:rPr>
          <w:sz w:val="22"/>
          <w:szCs w:val="22"/>
        </w:rPr>
        <w:t>Wykonawca wnioskując o zmianę umowy zobowiązany jest do przekazania zamawiającemu pisemnego wniosku wraz z opisem zdarzenia lub okoliczności stanowiących podstawę żądania. Każdorazowa zmiana umowy wymaga zgody lub akceptacji zamawiającego.</w:t>
      </w:r>
    </w:p>
    <w:p>
      <w:pPr>
        <w:pStyle w:val="Normalny1"/>
        <w:numPr>
          <w:ilvl w:val="0"/>
          <w:numId w:val="1"/>
        </w:numPr>
        <w:tabs>
          <w:tab w:val="clear" w:pos="709"/>
        </w:tabs>
        <w:ind w:hanging="426" w:left="426"/>
        <w:jc w:val="both"/>
        <w:rPr>
          <w:rFonts w:eastAsia="Bookman Old Style"/>
          <w:sz w:val="22"/>
          <w:szCs w:val="22"/>
        </w:rPr>
      </w:pPr>
      <w:r>
        <w:rPr>
          <w:sz w:val="22"/>
          <w:szCs w:val="22"/>
          <w:lang w:eastAsia="pl-PL"/>
        </w:rPr>
        <w:t>Dopuszczalne są zmiany dotyczące realizacji dodatkowych robót budowlanych przez dotychczasowego wykonawcę, których nie uwzględniono w zamówieniu podstawowym, o ile stały się niezbędne i zostały spełnione łącznie następujące warunki:</w:t>
      </w:r>
    </w:p>
    <w:p>
      <w:pPr>
        <w:pStyle w:val="Normalny1"/>
        <w:numPr>
          <w:ilvl w:val="1"/>
          <w:numId w:val="1"/>
        </w:numPr>
        <w:tabs>
          <w:tab w:val="clear" w:pos="709"/>
        </w:tabs>
        <w:ind w:hanging="708" w:left="1134"/>
        <w:jc w:val="both"/>
        <w:rPr>
          <w:rFonts w:eastAsia="Bookman Old Style"/>
          <w:dstrike/>
          <w:sz w:val="22"/>
          <w:szCs w:val="22"/>
        </w:rPr>
      </w:pPr>
      <w:r>
        <w:rPr>
          <w:sz w:val="22"/>
          <w:szCs w:val="22"/>
          <w:lang w:eastAsia="pl-PL"/>
        </w:rPr>
        <w:t xml:space="preserve">zmiana wykonawcy nie może zostać dokonana z powodów ekonomicznych lub technicznych,                   w szczególności dotyczących zamienności lub interoperacyjności wyposażenia, usług lub instalacji zamówionych w ramach zamówienia podstawowego, </w:t>
      </w:r>
    </w:p>
    <w:p>
      <w:pPr>
        <w:pStyle w:val="Normalny1"/>
        <w:numPr>
          <w:ilvl w:val="1"/>
          <w:numId w:val="1"/>
        </w:numPr>
        <w:tabs>
          <w:tab w:val="clear" w:pos="709"/>
        </w:tabs>
        <w:ind w:hanging="708" w:left="1134"/>
        <w:jc w:val="both"/>
        <w:rPr>
          <w:rFonts w:eastAsia="Bookman Old Style"/>
          <w:dstrike/>
          <w:sz w:val="22"/>
          <w:szCs w:val="22"/>
        </w:rPr>
      </w:pPr>
      <w:r>
        <w:rPr>
          <w:sz w:val="22"/>
          <w:szCs w:val="22"/>
          <w:lang w:eastAsia="pl-PL"/>
        </w:rPr>
        <w:t xml:space="preserve">zmiana wykonawcy spowodowałaby istotną niedogodność lub znaczne zwiększenie kosztów dla zamawiającego, </w:t>
      </w:r>
    </w:p>
    <w:p>
      <w:pPr>
        <w:pStyle w:val="Normalny1"/>
        <w:numPr>
          <w:ilvl w:val="1"/>
          <w:numId w:val="1"/>
        </w:numPr>
        <w:tabs>
          <w:tab w:val="clear" w:pos="709"/>
        </w:tabs>
        <w:ind w:hanging="708" w:left="1134"/>
        <w:jc w:val="both"/>
        <w:rPr>
          <w:rFonts w:eastAsia="Bookman Old Style"/>
          <w:dstrike/>
          <w:sz w:val="22"/>
          <w:szCs w:val="22"/>
        </w:rPr>
      </w:pPr>
      <w:r>
        <w:rPr>
          <w:sz w:val="22"/>
          <w:szCs w:val="22"/>
          <w:lang w:eastAsia="pl-PL"/>
        </w:rPr>
        <w:t xml:space="preserve">wzrost ceny spowodowany każdą kolejną zmianą nie przekracza 50 % wartości pierwotnej umowy, </w:t>
      </w:r>
    </w:p>
    <w:p>
      <w:pPr>
        <w:pStyle w:val="Normalny1"/>
        <w:numPr>
          <w:ilvl w:val="0"/>
          <w:numId w:val="1"/>
        </w:numPr>
        <w:tabs>
          <w:tab w:val="clear" w:pos="709"/>
        </w:tabs>
        <w:ind w:hanging="426" w:left="426"/>
        <w:jc w:val="both"/>
        <w:rPr>
          <w:sz w:val="22"/>
          <w:szCs w:val="22"/>
          <w:lang w:eastAsia="pl-PL"/>
        </w:rPr>
      </w:pPr>
      <w:r>
        <w:rPr>
          <w:sz w:val="22"/>
          <w:szCs w:val="22"/>
        </w:rPr>
        <w:t>Zamawiający dopuszcza zmianę umowy, jeżeli konieczność zmiany umowy spowodowana jest okolicznościami, których zamawiający, działając z należytą starannością, nie mógł przewidzieć, o ile zmiana nie modyfikuje ogólnego charakteru umowy a wzrost ceny spowodowany każdą kolejną zmianą nie przekracza 50 % wartości pierwotnej umowy.</w:t>
      </w:r>
    </w:p>
    <w:p>
      <w:pPr>
        <w:pStyle w:val="ListParagraph"/>
        <w:numPr>
          <w:ilvl w:val="0"/>
          <w:numId w:val="1"/>
        </w:numPr>
        <w:tabs>
          <w:tab w:val="clear" w:pos="709"/>
        </w:tabs>
        <w:suppressAutoHyphens w:val="false"/>
        <w:ind w:hanging="426" w:left="426"/>
        <w:jc w:val="both"/>
        <w:rPr>
          <w:rStyle w:val="Emphasis"/>
          <w:i w:val="false"/>
          <w:i w:val="false"/>
          <w:iCs w:val="false"/>
          <w:color w:val="auto"/>
          <w:sz w:val="22"/>
          <w:szCs w:val="22"/>
          <w:lang w:eastAsia="pl-PL"/>
        </w:rPr>
      </w:pPr>
      <w:r>
        <w:rPr>
          <w:color w:val="auto"/>
          <w:sz w:val="22"/>
          <w:szCs w:val="22"/>
        </w:rPr>
        <w:t>Przez niemożność przewidzenia okoliczności, o których mowa w ust. 14 zamawiający rozumie zdarzenie którego zaistnienie w normalnym toku rzeczy było mało prawdopodobne, przy czym niemożliwość przewidywalności określonych zdarzeń przez zamawiającego będzie określona w sposób obiektywny np</w:t>
      </w:r>
      <w:r>
        <w:rPr>
          <w:rStyle w:val="Emphasis"/>
          <w:color w:val="auto"/>
          <w:sz w:val="22"/>
          <w:szCs w:val="22"/>
        </w:rPr>
        <w:t xml:space="preserve">. </w:t>
      </w:r>
      <w:r>
        <w:rPr>
          <w:rStyle w:val="Emphasis"/>
          <w:i w:val="false"/>
          <w:color w:val="auto"/>
          <w:sz w:val="22"/>
          <w:szCs w:val="22"/>
        </w:rPr>
        <w:t>zjawiska gospodarcze zewnętrzne w stosunku do stron umowy i w pełni od nich niezależne, takie jak gwałtowna dekoniunktura, ograniczenie dostępności surowców, istotny wzrost cen materiałów lub wzrost kosztów pracowniczych.</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lang w:eastAsia="pl-PL"/>
        </w:rPr>
        <w:t xml:space="preserve">W przypadkach, o których mowa w ust. 13 i 14, zamawiający: </w:t>
      </w:r>
    </w:p>
    <w:p>
      <w:pPr>
        <w:pStyle w:val="ListParagraph"/>
        <w:numPr>
          <w:ilvl w:val="1"/>
          <w:numId w:val="1"/>
        </w:numPr>
        <w:suppressAutoHyphens w:val="false"/>
        <w:ind w:hanging="654" w:left="1080"/>
        <w:jc w:val="both"/>
        <w:rPr>
          <w:color w:val="auto"/>
          <w:sz w:val="22"/>
          <w:szCs w:val="22"/>
          <w:lang w:eastAsia="pl-PL"/>
        </w:rPr>
      </w:pPr>
      <w:r>
        <w:rPr>
          <w:color w:val="auto"/>
          <w:sz w:val="22"/>
          <w:szCs w:val="22"/>
          <w:lang w:eastAsia="pl-PL"/>
        </w:rPr>
        <w:t>nie może wprowadzać kolejnych zmian umowy w celu uniknięcia stosowania przepisów ustawy pzp;</w:t>
      </w:r>
    </w:p>
    <w:p>
      <w:pPr>
        <w:pStyle w:val="ListParagraph"/>
        <w:numPr>
          <w:ilvl w:val="1"/>
          <w:numId w:val="1"/>
        </w:numPr>
        <w:suppressAutoHyphens w:val="false"/>
        <w:ind w:hanging="654" w:left="1080"/>
        <w:jc w:val="both"/>
        <w:rPr>
          <w:color w:val="auto"/>
          <w:sz w:val="22"/>
          <w:szCs w:val="22"/>
          <w:lang w:eastAsia="pl-PL"/>
        </w:rPr>
      </w:pPr>
      <w:r>
        <w:rPr>
          <w:sz w:val="22"/>
          <w:szCs w:val="22"/>
          <w:lang w:eastAsia="pl-PL"/>
        </w:rPr>
        <w:t>po dokonaniu zmiany umowy zamieszcza ogłoszenie o zmianie umowy w Biuletynie Zamówień       Publicznych.</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lang w:eastAsia="pl-PL"/>
        </w:rPr>
        <w:t>Z</w:t>
      </w:r>
      <w:r>
        <w:rPr>
          <w:color w:val="auto"/>
          <w:sz w:val="22"/>
          <w:szCs w:val="22"/>
        </w:rPr>
        <w:t>amawiający dopuszcza zmianę umowy bez przeprowadzenia nowego postępowania o udzielenie zamówienia, których łączna wartość jest niższa niż 15% wartości pierwotnej umowy a zmiany te nie powodują zmiany ogólnego charakteru umowy.</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rPr>
        <w:t xml:space="preserve">Zamawiający dopuszcza zmianę umowy w sytuacji, </w:t>
      </w:r>
      <w:r>
        <w:rPr>
          <w:color w:val="auto"/>
          <w:sz w:val="22"/>
          <w:szCs w:val="22"/>
          <w:lang w:eastAsia="pl-PL"/>
        </w:rPr>
        <w:t xml:space="preserve">gdy nowy wykonawca ma zastąpić dotychczasowego wykonawcę: </w:t>
      </w:r>
    </w:p>
    <w:p>
      <w:pPr>
        <w:pStyle w:val="ListParagraph"/>
        <w:numPr>
          <w:ilvl w:val="1"/>
          <w:numId w:val="1"/>
        </w:numPr>
        <w:suppressAutoHyphens w:val="false"/>
        <w:jc w:val="both"/>
        <w:rPr>
          <w:color w:val="auto"/>
          <w:sz w:val="22"/>
          <w:szCs w:val="22"/>
          <w:lang w:eastAsia="pl-PL"/>
        </w:rPr>
      </w:pPr>
      <w:r>
        <w:rPr>
          <w:color w:val="auto"/>
          <w:sz w:val="22"/>
          <w:szCs w:val="22"/>
          <w:lang w:eastAsia="pl-PL"/>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w:t>
      </w:r>
    </w:p>
    <w:p>
      <w:pPr>
        <w:pStyle w:val="ListParagraph"/>
        <w:numPr>
          <w:ilvl w:val="1"/>
          <w:numId w:val="1"/>
        </w:numPr>
        <w:suppressAutoHyphens w:val="false"/>
        <w:jc w:val="both"/>
        <w:rPr>
          <w:color w:val="auto"/>
          <w:sz w:val="22"/>
          <w:szCs w:val="22"/>
          <w:lang w:eastAsia="pl-PL"/>
        </w:rPr>
      </w:pPr>
      <w:r>
        <w:rPr>
          <w:sz w:val="22"/>
          <w:szCs w:val="22"/>
          <w:lang w:eastAsia="pl-PL"/>
        </w:rPr>
        <w:t>w wyniku przejęcia przez zamawiającego zobowiązań wykonawcy względem jego podwykonawców,  w przypadku, o którym mowa w art. 465 ust. 1ustawy pzp;</w:t>
      </w:r>
    </w:p>
    <w:p>
      <w:pPr>
        <w:pStyle w:val="ListParagraph"/>
        <w:numPr>
          <w:ilvl w:val="0"/>
          <w:numId w:val="1"/>
        </w:numPr>
        <w:tabs>
          <w:tab w:val="clear" w:pos="709"/>
        </w:tabs>
        <w:suppressAutoHyphens w:val="false"/>
        <w:ind w:hanging="426" w:left="426"/>
        <w:jc w:val="both"/>
        <w:rPr>
          <w:color w:val="auto"/>
          <w:sz w:val="22"/>
          <w:szCs w:val="22"/>
          <w:lang w:eastAsia="pl-PL"/>
        </w:rPr>
      </w:pPr>
      <w:r>
        <w:rPr>
          <w:rFonts w:eastAsia="Bookman Old Style"/>
          <w:bCs/>
          <w:color w:val="auto"/>
          <w:sz w:val="22"/>
          <w:szCs w:val="22"/>
        </w:rPr>
        <w:t xml:space="preserve">Zamawiający może dopuścić </w:t>
      </w:r>
      <w:r>
        <w:rPr>
          <w:color w:val="auto"/>
          <w:sz w:val="22"/>
          <w:szCs w:val="22"/>
        </w:rPr>
        <w:t>zmianę umowy nieznacznie rozszerzającą lub zmniejszającą zakres/przedmiot świadczeń i zobowiązań wynikający z umowy z możliwością wprowadzenia zmiany wynagrodzenia.</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lang w:eastAsia="pl-PL"/>
        </w:rPr>
        <w:t xml:space="preserve">W przypadkach, o których mowa w ust. 13 pkt 3, ust. 14, ust. 17 </w:t>
      </w:r>
      <w:r>
        <w:rPr>
          <w:rFonts w:eastAsia="Times New Roman"/>
          <w:color w:val="auto"/>
          <w:sz w:val="22"/>
          <w:szCs w:val="22"/>
          <w:lang w:eastAsia="pl-PL"/>
        </w:rPr>
        <w:t xml:space="preserve">dopuszczalną wartość zmiany ceny, </w:t>
      </w:r>
      <w:r>
        <w:rPr>
          <w:color w:val="auto"/>
          <w:sz w:val="22"/>
          <w:szCs w:val="22"/>
        </w:rPr>
        <w:t xml:space="preserve">lub dopuszczalną wartość zmiany umowy </w:t>
      </w:r>
      <w:r>
        <w:rPr>
          <w:rFonts w:eastAsia="Times New Roman"/>
          <w:color w:val="auto"/>
          <w:sz w:val="22"/>
          <w:szCs w:val="22"/>
          <w:lang w:eastAsia="pl-PL"/>
        </w:rPr>
        <w:t>ustala się w oparciu o zmienioną cenę.</w:t>
      </w:r>
    </w:p>
    <w:p>
      <w:pPr>
        <w:pStyle w:val="ListParagraph"/>
        <w:numPr>
          <w:ilvl w:val="0"/>
          <w:numId w:val="1"/>
        </w:numPr>
        <w:tabs>
          <w:tab w:val="clear" w:pos="709"/>
        </w:tabs>
        <w:suppressAutoHyphens w:val="false"/>
        <w:ind w:hanging="426" w:left="426"/>
        <w:jc w:val="both"/>
        <w:rPr>
          <w:color w:val="auto"/>
          <w:sz w:val="22"/>
          <w:szCs w:val="22"/>
          <w:lang w:eastAsia="pl-PL"/>
        </w:rPr>
      </w:pPr>
      <w:r>
        <w:rPr>
          <w:rFonts w:eastAsia="Bookman Old Style"/>
          <w:bCs/>
          <w:color w:val="auto"/>
          <w:sz w:val="22"/>
          <w:szCs w:val="22"/>
        </w:rPr>
        <w:t xml:space="preserve">Zamawiający dopuszcza zmianę </w:t>
      </w:r>
      <w:r>
        <w:rPr>
          <w:color w:val="auto"/>
          <w:sz w:val="22"/>
          <w:szCs w:val="22"/>
        </w:rPr>
        <w:t>wysokości wynagrodzenia należnego wykonawcy, w przypadku zmiany ceny materiałów lub kosztów związanych z realizacją zamówienia o maksymalną wartość nie większą niż 15% wartości umowy w terminie nie wcześniej niż 60 dni od dnia zawarcia umowy.</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rPr>
        <w:t xml:space="preserve">W przypadku zmiany wysokości wynagrodzenia, o którym mowa w ust. 21 </w:t>
      </w:r>
      <w:r>
        <w:rPr>
          <w:color w:val="auto"/>
          <w:sz w:val="22"/>
          <w:szCs w:val="22"/>
          <w:lang w:eastAsia="pl-PL"/>
        </w:rPr>
        <w:t xml:space="preserve">sposób ustalania zmiany nastąpi w oparciu o wskaźnik ogłaszanego w komunikacie Prezesa Głównego Urzędu Statystycznego lub przez wskazanie innej podstawy, w szczególności wykazu rodzajów materiałów lub kosztów, w przypadku których zmiana ceny uprawnia strony umowy do żądania zmiany wynagrodzenia. </w:t>
      </w:r>
      <w:r>
        <w:rPr>
          <w:sz w:val="22"/>
          <w:szCs w:val="22"/>
          <w:lang w:eastAsia="pl-PL"/>
        </w:rPr>
        <w:t>Szczegółowe uzasadnienie zmiany wynagrodzenia leży po stronie wykonawcy, który ponosi ryzyko związane udowodnieniem zaistnienia okoliczności uzasadniających zmianę i jej wysokości w szczególności poprzez odniesienie do cen wskazanych w kosztorysie ofertowym i aktualnych cen. Zamawiający dopuszcza dokonanie wyliczeń wysokości zmiany wynagrodzenia w oparciu o koszyki waloryzacyjne opracowane przez Urząd Zamówień Publicznych.</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lang w:eastAsia="pl-PL"/>
        </w:rPr>
        <w:t xml:space="preserve">Wykonawca, którego wynagrodzenie zostało zmienione zgodnie z ust. 21 - 22, zobowiązany jest do zmiany wynagrodzenia przysługującego podwykonawcy, z którym zawarł umowę, w zakresie odpowiadającym zmianom cen materiałów lub kosztów dotyczących zobowiązania podwykonawcy, jeżeli łącznie spełnione są następujące warunki: przedmiotem umowy są roboty budowlane lub usługi a </w:t>
      </w:r>
      <w:r>
        <w:rPr>
          <w:rFonts w:eastAsia="Times New Roman"/>
          <w:color w:val="auto"/>
          <w:sz w:val="22"/>
          <w:szCs w:val="22"/>
          <w:lang w:eastAsia="pl-PL"/>
        </w:rPr>
        <w:t>okres obowiązywania umowy przekracza 6 miesięcy.</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rPr>
        <w:t>Przez zmianę ceny materiałów lub kosztów, o których mowa w ust. 21 rozumie się wzrost odpowiednio cen lub kosztów, jak i ich obniżenie, względem ceny lub kosztu przyjętych w celu ustalenia wynagrodzenia wykonawcy zawartego w ofercie.</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rPr>
        <w:t>Zamawiający dopuszcza zmianę decyzji, zgód, pozwoleń na podstawie których realizowane będzie zamówienie. Zmiana taka może być dokonana za wyłączną zgodą zamawiającego.</w:t>
      </w:r>
    </w:p>
    <w:p>
      <w:pPr>
        <w:pStyle w:val="ListParagraph"/>
        <w:numPr>
          <w:ilvl w:val="0"/>
          <w:numId w:val="1"/>
        </w:numPr>
        <w:tabs>
          <w:tab w:val="clear" w:pos="709"/>
        </w:tabs>
        <w:suppressAutoHyphens w:val="false"/>
        <w:ind w:hanging="426" w:left="426"/>
        <w:jc w:val="both"/>
        <w:rPr>
          <w:color w:val="auto"/>
          <w:sz w:val="22"/>
          <w:szCs w:val="22"/>
          <w:lang w:eastAsia="pl-PL"/>
        </w:rPr>
      </w:pPr>
      <w:r>
        <w:rPr>
          <w:color w:val="auto"/>
          <w:sz w:val="22"/>
          <w:szCs w:val="22"/>
        </w:rPr>
        <w:t>Zamawiający dopuszcza możliwość zmiany umowy w zakresie ilości płatności (zwiększenie lub zmniejszenie częstotliwości) pod warunkiem przedłożenia przez Wykonawcę stosownego wniosku uzasadniającego konieczność zmiany a także zmianę harmonogramu.</w:t>
      </w:r>
    </w:p>
    <w:p>
      <w:pPr>
        <w:pStyle w:val="ListParagraph"/>
        <w:numPr>
          <w:ilvl w:val="0"/>
          <w:numId w:val="1"/>
        </w:numPr>
        <w:tabs>
          <w:tab w:val="clear" w:pos="709"/>
        </w:tabs>
        <w:suppressAutoHyphens w:val="false"/>
        <w:ind w:hanging="426" w:left="426"/>
        <w:jc w:val="both"/>
        <w:rPr>
          <w:color w:val="auto"/>
          <w:sz w:val="22"/>
          <w:szCs w:val="22"/>
          <w:lang w:eastAsia="pl-PL"/>
        </w:rPr>
      </w:pPr>
      <w:r>
        <w:rPr>
          <w:rFonts w:eastAsia="Bookman Old Style"/>
          <w:bCs/>
          <w:color w:val="auto"/>
          <w:sz w:val="22"/>
          <w:szCs w:val="22"/>
        </w:rPr>
        <w:t xml:space="preserve">Niedopuszczalne są istotne zmiany postanowień zawartej umowy. Zmiana umowy jest istotna, </w:t>
      </w:r>
      <w:r>
        <w:rPr>
          <w:color w:val="auto"/>
          <w:sz w:val="22"/>
          <w:szCs w:val="22"/>
          <w:lang w:eastAsia="pl-PL"/>
        </w:rPr>
        <w:t xml:space="preserve">jeżeli powoduje, że charakter umowy zmienia się w sposób istotny w stosunku do pierwotnej umowy,                             w szczególności jeżeli zmiana: </w:t>
      </w:r>
    </w:p>
    <w:p>
      <w:pPr>
        <w:pStyle w:val="Normal"/>
        <w:suppressAutoHyphens w:val="false"/>
        <w:ind w:hanging="283" w:left="709"/>
        <w:jc w:val="both"/>
        <w:rPr>
          <w:sz w:val="22"/>
          <w:szCs w:val="22"/>
          <w:lang w:eastAsia="pl-PL"/>
        </w:rPr>
      </w:pPr>
      <w:r>
        <w:rPr>
          <w:sz w:val="22"/>
          <w:szCs w:val="22"/>
          <w:lang w:eastAsia="pl-PL"/>
        </w:rPr>
        <w:t xml:space="preserve">1) </w:t>
        <w:tab/>
        <w:t>wprowadza warunki, które gdyby zostały zastosowane w postępowaniu o udzielenie zamówienia,                          to wzięliby w nim udział lub mogliby wziąć udział inni wykonawcy lub przyjęte zostałyby oferty innej treści;</w:t>
      </w:r>
    </w:p>
    <w:p>
      <w:pPr>
        <w:pStyle w:val="Normal"/>
        <w:suppressAutoHyphens w:val="false"/>
        <w:ind w:hanging="283" w:left="709"/>
        <w:jc w:val="both"/>
        <w:rPr>
          <w:sz w:val="22"/>
          <w:szCs w:val="22"/>
          <w:lang w:eastAsia="pl-PL"/>
        </w:rPr>
      </w:pPr>
      <w:r>
        <w:rPr>
          <w:sz w:val="22"/>
          <w:szCs w:val="22"/>
          <w:lang w:eastAsia="pl-PL"/>
        </w:rPr>
        <w:t>2)</w:t>
        <w:tab/>
        <w:t>narusza równowagę ekonomiczną stron umowy na korzyść wykonawcy, w sposób nieprzewidziany                          w pierwotnej umowie;</w:t>
      </w:r>
    </w:p>
    <w:p>
      <w:pPr>
        <w:pStyle w:val="Normal"/>
        <w:suppressAutoHyphens w:val="false"/>
        <w:ind w:hanging="141" w:left="567"/>
        <w:jc w:val="both"/>
        <w:rPr>
          <w:sz w:val="22"/>
          <w:szCs w:val="22"/>
          <w:lang w:eastAsia="pl-PL"/>
        </w:rPr>
      </w:pPr>
      <w:r>
        <w:rPr>
          <w:sz w:val="22"/>
          <w:szCs w:val="22"/>
          <w:lang w:eastAsia="pl-PL"/>
        </w:rPr>
        <w:t>3)</w:t>
        <w:tab/>
        <w:t xml:space="preserve">w sposób znaczny rozszerza albo zmniejsza zakres świadczeń i zobowiązań wynikający z umowy;  </w:t>
      </w:r>
    </w:p>
    <w:p>
      <w:pPr>
        <w:pStyle w:val="Normal"/>
        <w:suppressAutoHyphens w:val="false"/>
        <w:ind w:hanging="283" w:left="709"/>
        <w:jc w:val="both"/>
        <w:rPr>
          <w:sz w:val="22"/>
          <w:szCs w:val="22"/>
          <w:lang w:eastAsia="pl-PL"/>
        </w:rPr>
      </w:pPr>
      <w:r>
        <w:rPr>
          <w:sz w:val="22"/>
          <w:szCs w:val="22"/>
          <w:lang w:eastAsia="pl-PL"/>
        </w:rPr>
        <w:t>4)</w:t>
        <w:tab/>
        <w:t>polega na zastąpieniu wykonawcy, któremu zamawiający udzielił zamówienia, nowym wykonawcą                   w przypadkach innych, niż wskazane w ust. 18.</w:t>
      </w:r>
    </w:p>
    <w:p>
      <w:pPr>
        <w:pStyle w:val="Normal"/>
        <w:suppressAutoHyphens w:val="false"/>
        <w:ind w:hanging="567" w:left="567"/>
        <w:jc w:val="both"/>
        <w:rPr>
          <w:sz w:val="22"/>
          <w:szCs w:val="22"/>
          <w:lang w:eastAsia="pl-PL"/>
        </w:rPr>
      </w:pPr>
      <w:r>
        <w:rPr>
          <w:sz w:val="22"/>
          <w:szCs w:val="22"/>
        </w:rPr>
        <w:t>28.</w:t>
        <w:tab/>
      </w:r>
      <w:r>
        <w:rPr>
          <w:sz w:val="22"/>
          <w:szCs w:val="22"/>
          <w:lang w:eastAsia="pl-PL"/>
        </w:rPr>
        <w:t xml:space="preserve">Istotna zmiana zawartej umowy wymaga przeprowadzenia nowego postępowania o udzielenie  zamówienia. </w:t>
      </w:r>
    </w:p>
    <w:p>
      <w:pPr>
        <w:pStyle w:val="Normal"/>
        <w:suppressAutoHyphens w:val="false"/>
        <w:ind w:hanging="567" w:left="567"/>
        <w:jc w:val="both"/>
        <w:rPr>
          <w:sz w:val="22"/>
          <w:szCs w:val="22"/>
          <w:lang w:eastAsia="pl-PL"/>
        </w:rPr>
      </w:pPr>
      <w:r>
        <w:rPr>
          <w:sz w:val="22"/>
          <w:szCs w:val="22"/>
          <w:lang w:eastAsia="pl-PL"/>
        </w:rPr>
        <w:t>29.</w:t>
        <w:tab/>
      </w:r>
      <w:r>
        <w:rPr>
          <w:rFonts w:eastAsia="Bookman Old Style"/>
          <w:bCs/>
          <w:sz w:val="22"/>
          <w:szCs w:val="22"/>
        </w:rPr>
        <w:t>Wszelkie zmiany umowy w tym wynagrodzenia wymagają zgody zamawiającego.</w:t>
      </w:r>
    </w:p>
    <w:p>
      <w:pPr>
        <w:pStyle w:val="Normalny1"/>
        <w:rPr>
          <w:rFonts w:eastAsia="Bookman Old Style"/>
          <w:b/>
          <w:bCs/>
          <w:sz w:val="22"/>
          <w:szCs w:val="22"/>
        </w:rPr>
      </w:pPr>
      <w:r>
        <w:rPr>
          <w:rFonts w:eastAsia="Bookman Old Style"/>
          <w:b/>
          <w:bCs/>
          <w:sz w:val="22"/>
          <w:szCs w:val="22"/>
        </w:rPr>
      </w:r>
    </w:p>
    <w:p>
      <w:pPr>
        <w:pStyle w:val="Normalny1"/>
        <w:jc w:val="center"/>
        <w:rPr>
          <w:rFonts w:eastAsia="Bookman Old Style"/>
          <w:b/>
          <w:bCs/>
          <w:sz w:val="22"/>
          <w:szCs w:val="22"/>
        </w:rPr>
      </w:pPr>
      <w:r>
        <w:rPr>
          <w:rFonts w:eastAsia="Bookman Old Style"/>
          <w:b/>
          <w:bCs/>
          <w:sz w:val="22"/>
          <w:szCs w:val="22"/>
        </w:rPr>
        <w:t>§ 8.</w:t>
      </w:r>
    </w:p>
    <w:p>
      <w:pPr>
        <w:pStyle w:val="Normalny1"/>
        <w:jc w:val="center"/>
        <w:rPr>
          <w:rFonts w:eastAsia="Bookman Old Style"/>
          <w:b/>
          <w:bCs/>
          <w:sz w:val="22"/>
          <w:szCs w:val="22"/>
        </w:rPr>
      </w:pPr>
      <w:r>
        <w:rPr>
          <w:rFonts w:eastAsia="Bookman Old Style"/>
          <w:b/>
          <w:bCs/>
          <w:sz w:val="22"/>
          <w:szCs w:val="22"/>
        </w:rPr>
        <w:t>Odbiory robót</w:t>
      </w:r>
    </w:p>
    <w:p>
      <w:pPr>
        <w:pStyle w:val="Normalny1"/>
        <w:jc w:val="center"/>
        <w:rPr>
          <w:rFonts w:eastAsia="Bookman Old Style"/>
          <w:b/>
          <w:bCs/>
          <w:sz w:val="22"/>
          <w:szCs w:val="22"/>
        </w:rPr>
      </w:pPr>
      <w:r>
        <w:rPr>
          <w:rFonts w:eastAsia="Bookman Old Style"/>
          <w:b/>
          <w:bCs/>
          <w:sz w:val="22"/>
          <w:szCs w:val="22"/>
        </w:rPr>
      </w:r>
    </w:p>
    <w:p>
      <w:pPr>
        <w:pStyle w:val="Normalny1"/>
        <w:numPr>
          <w:ilvl w:val="1"/>
          <w:numId w:val="6"/>
        </w:numPr>
        <w:tabs>
          <w:tab w:val="clear" w:pos="709"/>
          <w:tab w:val="left" w:pos="426" w:leader="none"/>
        </w:tabs>
        <w:ind w:hanging="426" w:left="426"/>
        <w:jc w:val="both"/>
        <w:rPr>
          <w:rFonts w:eastAsia="Bookman Old Style"/>
          <w:sz w:val="22"/>
          <w:szCs w:val="22"/>
        </w:rPr>
      </w:pPr>
      <w:r>
        <w:rPr>
          <w:bCs/>
          <w:sz w:val="22"/>
          <w:szCs w:val="22"/>
        </w:rPr>
        <w:t>Stosowane będą następujące rodzaje odbiorów robót:</w:t>
      </w:r>
    </w:p>
    <w:p>
      <w:pPr>
        <w:pStyle w:val="Normalny1"/>
        <w:numPr>
          <w:ilvl w:val="0"/>
          <w:numId w:val="14"/>
        </w:numPr>
        <w:ind w:hanging="284" w:left="993"/>
        <w:rPr>
          <w:b/>
          <w:bCs/>
          <w:sz w:val="22"/>
          <w:szCs w:val="22"/>
        </w:rPr>
      </w:pPr>
      <w:r>
        <w:rPr>
          <w:bCs/>
          <w:sz w:val="22"/>
          <w:szCs w:val="22"/>
        </w:rPr>
        <w:t>odbiory robót zanikających i ulegających zakryciu,</w:t>
      </w:r>
    </w:p>
    <w:p>
      <w:pPr>
        <w:pStyle w:val="Normalny1"/>
        <w:numPr>
          <w:ilvl w:val="0"/>
          <w:numId w:val="14"/>
        </w:numPr>
        <w:ind w:hanging="284" w:left="993"/>
        <w:rPr>
          <w:b/>
          <w:bCs/>
          <w:sz w:val="22"/>
          <w:szCs w:val="22"/>
        </w:rPr>
      </w:pPr>
      <w:r>
        <w:rPr>
          <w:bCs/>
          <w:sz w:val="22"/>
          <w:szCs w:val="22"/>
        </w:rPr>
        <w:t>odbiór techniczny,</w:t>
      </w:r>
    </w:p>
    <w:p>
      <w:pPr>
        <w:pStyle w:val="Normalny1"/>
        <w:numPr>
          <w:ilvl w:val="0"/>
          <w:numId w:val="14"/>
        </w:numPr>
        <w:ind w:hanging="284" w:left="993"/>
        <w:rPr>
          <w:b/>
          <w:bCs/>
          <w:sz w:val="22"/>
          <w:szCs w:val="22"/>
        </w:rPr>
      </w:pPr>
      <w:r>
        <w:rPr>
          <w:bCs/>
          <w:sz w:val="22"/>
          <w:szCs w:val="22"/>
        </w:rPr>
        <w:t>odbiór końcowy,</w:t>
      </w:r>
    </w:p>
    <w:p>
      <w:pPr>
        <w:pStyle w:val="Normalny1"/>
        <w:numPr>
          <w:ilvl w:val="0"/>
          <w:numId w:val="14"/>
        </w:numPr>
        <w:ind w:hanging="284" w:left="993"/>
        <w:rPr>
          <w:b/>
          <w:bCs/>
          <w:sz w:val="22"/>
          <w:szCs w:val="22"/>
        </w:rPr>
      </w:pPr>
      <w:r>
        <w:rPr>
          <w:bCs/>
          <w:sz w:val="22"/>
          <w:szCs w:val="22"/>
        </w:rPr>
        <w:t>odbiór ostateczny (pogwarancyjny).</w:t>
      </w:r>
    </w:p>
    <w:p>
      <w:pPr>
        <w:pStyle w:val="Normalny1"/>
        <w:numPr>
          <w:ilvl w:val="1"/>
          <w:numId w:val="6"/>
        </w:numPr>
        <w:tabs>
          <w:tab w:val="clear" w:pos="709"/>
          <w:tab w:val="left" w:pos="426" w:leader="none"/>
        </w:tabs>
        <w:ind w:hanging="426" w:left="426"/>
        <w:jc w:val="both"/>
        <w:rPr>
          <w:rFonts w:eastAsia="Bookman Old Style"/>
          <w:sz w:val="22"/>
          <w:szCs w:val="22"/>
        </w:rPr>
      </w:pPr>
      <w:r>
        <w:rPr>
          <w:bCs/>
          <w:sz w:val="22"/>
          <w:szCs w:val="22"/>
        </w:rPr>
        <w:t xml:space="preserve">Wykonawca zawiadomi Zamawiającego na piśmie o osiągnięciu gotowości przedmiotu umowy                      do odbioru technicznego i końcowego. </w:t>
      </w:r>
      <w:r>
        <w:rPr>
          <w:sz w:val="22"/>
          <w:szCs w:val="22"/>
          <w:lang w:eastAsia="pl-PL"/>
        </w:rPr>
        <w:t>Ponadto, Wykonawca zobowiązany jest zapewnić udział kierowników robót w czynnościach odbiorowych.</w:t>
      </w:r>
    </w:p>
    <w:p>
      <w:pPr>
        <w:pStyle w:val="Normalny1"/>
        <w:numPr>
          <w:ilvl w:val="1"/>
          <w:numId w:val="6"/>
        </w:numPr>
        <w:tabs>
          <w:tab w:val="clear" w:pos="709"/>
          <w:tab w:val="left" w:pos="426" w:leader="none"/>
        </w:tabs>
        <w:ind w:hanging="426" w:left="426"/>
        <w:jc w:val="both"/>
        <w:rPr>
          <w:rFonts w:eastAsia="Bookman Old Style"/>
          <w:sz w:val="22"/>
          <w:szCs w:val="22"/>
        </w:rPr>
      </w:pPr>
      <w:r>
        <w:rPr>
          <w:sz w:val="22"/>
          <w:szCs w:val="22"/>
          <w:lang w:eastAsia="pl-PL"/>
        </w:rPr>
        <w:t xml:space="preserve">Czynności odbioru </w:t>
      </w:r>
      <w:r>
        <w:rPr>
          <w:bCs/>
          <w:sz w:val="22"/>
          <w:szCs w:val="22"/>
        </w:rPr>
        <w:t>technicznego i końcowego</w:t>
      </w:r>
      <w:r>
        <w:rPr>
          <w:sz w:val="22"/>
          <w:szCs w:val="22"/>
          <w:lang w:eastAsia="pl-PL"/>
        </w:rPr>
        <w:t xml:space="preserve"> zostaną podjęte przez Zamawiającego zgodnie                             z postanowieniami </w:t>
      </w:r>
      <w:r>
        <w:rPr>
          <w:rFonts w:eastAsia="Bookman Old Style"/>
          <w:bCs/>
          <w:sz w:val="22"/>
          <w:szCs w:val="22"/>
        </w:rPr>
        <w:t>§ 5 ust. 19 i ust. 4-7 niniejszego paragrafu.</w:t>
      </w:r>
    </w:p>
    <w:p>
      <w:pPr>
        <w:pStyle w:val="Normalny1"/>
        <w:numPr>
          <w:ilvl w:val="1"/>
          <w:numId w:val="6"/>
        </w:numPr>
        <w:tabs>
          <w:tab w:val="clear" w:pos="709"/>
          <w:tab w:val="left" w:pos="426" w:leader="none"/>
        </w:tabs>
        <w:ind w:hanging="426" w:left="426"/>
        <w:jc w:val="both"/>
        <w:rPr>
          <w:rFonts w:eastAsia="Bookman Old Style"/>
          <w:sz w:val="22"/>
          <w:szCs w:val="22"/>
        </w:rPr>
      </w:pPr>
      <w:r>
        <w:rPr>
          <w:sz w:val="22"/>
          <w:szCs w:val="22"/>
          <w:lang w:eastAsia="pl-PL"/>
        </w:rPr>
        <w:t>Odbiór końcowy zostaje zakończony w dniu sporządzenia i podpisania przez Komisję Odbioru Końcowego protokołu czynności odbioru końcowego.</w:t>
      </w:r>
    </w:p>
    <w:p>
      <w:pPr>
        <w:pStyle w:val="Normalny1"/>
        <w:numPr>
          <w:ilvl w:val="1"/>
          <w:numId w:val="6"/>
        </w:numPr>
        <w:tabs>
          <w:tab w:val="clear" w:pos="709"/>
          <w:tab w:val="left" w:pos="426" w:leader="none"/>
        </w:tabs>
        <w:ind w:hanging="426" w:left="426"/>
        <w:jc w:val="both"/>
        <w:rPr>
          <w:rFonts w:eastAsia="Bookman Old Style"/>
          <w:sz w:val="22"/>
          <w:szCs w:val="22"/>
        </w:rPr>
      </w:pPr>
      <w:r>
        <w:rPr>
          <w:sz w:val="22"/>
          <w:szCs w:val="22"/>
          <w:lang w:eastAsia="pl-PL"/>
        </w:rPr>
        <w:t>O ile w protokole z czynności odbioru końcowego zostanie stwierdzone występowanie wad – zgodnie                 z postanowieniami umowy w części dotyczącej wad, Wykonawca ma obowiązek po ich usunięciu zgłosić Zamawiającemu gotowość dokonania przeglądu w celu stwierdzenia ich usunięcia i dokonania odbioru robót bez wad. Zamawiający przystąpi do odbioru takich prac w terminie 5 dni roboczych                                          od dnia zgłoszenia.</w:t>
      </w:r>
    </w:p>
    <w:p>
      <w:pPr>
        <w:pStyle w:val="Normalny1"/>
        <w:numPr>
          <w:ilvl w:val="1"/>
          <w:numId w:val="6"/>
        </w:numPr>
        <w:tabs>
          <w:tab w:val="clear" w:pos="709"/>
          <w:tab w:val="left" w:pos="426" w:leader="none"/>
        </w:tabs>
        <w:ind w:hanging="426" w:left="426"/>
        <w:jc w:val="both"/>
        <w:rPr>
          <w:rFonts w:eastAsia="Bookman Old Style"/>
          <w:sz w:val="22"/>
          <w:szCs w:val="22"/>
        </w:rPr>
      </w:pPr>
      <w:r>
        <w:rPr>
          <w:sz w:val="22"/>
          <w:szCs w:val="22"/>
          <w:lang w:eastAsia="pl-PL"/>
        </w:rPr>
        <w:t xml:space="preserve">O ile Generalny Wykonawca nie powiadomi Zamawiającego na piśmie o usunięciu Wad stwierdzonych      w protokole odbioru końcowego, uznaje się, że Wady nie zostały usunięte w ustalonym terminie.                      W takim przypadku, niezależnie od innych praw przyznanych Zamawiającemu w umowie, Zamawiający może po uprzednim dodatkowym wezwaniu do usunięcia wad w terminie zakreślonym przez </w:t>
      </w:r>
    </w:p>
    <w:p>
      <w:pPr>
        <w:pStyle w:val="Normalny1"/>
        <w:tabs>
          <w:tab w:val="clear" w:pos="709"/>
          <w:tab w:val="left" w:pos="426" w:leader="none"/>
        </w:tabs>
        <w:ind w:left="426"/>
        <w:jc w:val="both"/>
        <w:rPr>
          <w:rFonts w:eastAsia="Bookman Old Style"/>
          <w:sz w:val="22"/>
          <w:szCs w:val="22"/>
        </w:rPr>
      </w:pPr>
      <w:r>
        <w:rPr>
          <w:sz w:val="22"/>
          <w:szCs w:val="22"/>
          <w:lang w:eastAsia="pl-PL"/>
        </w:rPr>
        <w:t>Zamawiającego przystąpić do usuwania Wad, o ile Wykonawca nie usunął ich w zakreślonym terminie, na koszt i ryzyko Wykonawcy nie tracąc uprawnień z tytułu gwarancji i rękojmi lub zatrzymać kwotę odpowiadającą wartości usunięcia przez niego Wad, którą to kwotę Wykonawca tytułem pokrycia szkody zobowiązany będzie ponieść wobec Zamawiającego lub dokonać zaspokojenia    z Gwarancji należytego wykonania umowy.</w:t>
      </w:r>
    </w:p>
    <w:p>
      <w:pPr>
        <w:pStyle w:val="Normalny1"/>
        <w:numPr>
          <w:ilvl w:val="1"/>
          <w:numId w:val="6"/>
        </w:numPr>
        <w:tabs>
          <w:tab w:val="clear" w:pos="709"/>
          <w:tab w:val="left" w:pos="426" w:leader="none"/>
        </w:tabs>
        <w:ind w:hanging="426" w:left="426"/>
        <w:jc w:val="both"/>
        <w:rPr>
          <w:rFonts w:eastAsia="Bookman Old Style"/>
          <w:sz w:val="22"/>
          <w:szCs w:val="22"/>
        </w:rPr>
      </w:pPr>
      <w:r>
        <w:rPr>
          <w:sz w:val="22"/>
          <w:szCs w:val="22"/>
          <w:lang w:eastAsia="pl-PL"/>
        </w:rPr>
        <w:t>Jeżeli wada jest nieusuwalna, Zamawiający po uprzednim dodatkowym wezwaniu do usunięcia wady                w zakreślonym terminie może obniżyć wynagrodzenie Wykonawcy w odpowiednim stosunku o wartość robót wadliwie wykonanych (wedle oszacowania) lub dokonać zaspokojenia z Gwarancji należytego wykonania umowy.</w:t>
      </w:r>
    </w:p>
    <w:p>
      <w:pPr>
        <w:pStyle w:val="Normalny1"/>
        <w:tabs>
          <w:tab w:val="clear" w:pos="709"/>
          <w:tab w:val="left" w:pos="426" w:leader="none"/>
        </w:tabs>
        <w:ind w:left="426"/>
        <w:jc w:val="both"/>
        <w:rPr>
          <w:rFonts w:eastAsia="Bookman Old Style"/>
          <w:sz w:val="22"/>
          <w:szCs w:val="22"/>
        </w:rPr>
      </w:pPr>
      <w:r>
        <w:rPr>
          <w:rFonts w:eastAsia="Bookman Old Style"/>
          <w:sz w:val="22"/>
          <w:szCs w:val="22"/>
        </w:rPr>
      </w:r>
    </w:p>
    <w:p>
      <w:pPr>
        <w:pStyle w:val="Normalny1"/>
        <w:ind w:hanging="360" w:left="360"/>
        <w:jc w:val="center"/>
        <w:rPr>
          <w:rFonts w:eastAsia="Bookman Old Style"/>
          <w:b/>
          <w:bCs/>
          <w:sz w:val="22"/>
          <w:szCs w:val="22"/>
        </w:rPr>
      </w:pPr>
      <w:r>
        <w:rPr>
          <w:rFonts w:eastAsia="Bookman Old Style"/>
          <w:b/>
          <w:bCs/>
          <w:sz w:val="22"/>
          <w:szCs w:val="22"/>
        </w:rPr>
        <w:t>§ 9.</w:t>
      </w:r>
    </w:p>
    <w:p>
      <w:pPr>
        <w:pStyle w:val="Normalny1"/>
        <w:jc w:val="center"/>
        <w:rPr>
          <w:rFonts w:eastAsia="Bookman Old Style"/>
          <w:b/>
          <w:bCs/>
          <w:sz w:val="22"/>
          <w:szCs w:val="22"/>
        </w:rPr>
      </w:pPr>
      <w:r>
        <w:rPr>
          <w:rFonts w:eastAsia="Bookman Old Style"/>
          <w:b/>
          <w:bCs/>
          <w:sz w:val="22"/>
          <w:szCs w:val="22"/>
        </w:rPr>
        <w:t>Rozwiązanie i odstąpienie od umowy</w:t>
      </w:r>
    </w:p>
    <w:p>
      <w:pPr>
        <w:pStyle w:val="Normalny1"/>
        <w:jc w:val="center"/>
        <w:rPr>
          <w:rFonts w:eastAsia="Bookman Old Style"/>
          <w:b/>
          <w:bCs/>
          <w:sz w:val="22"/>
          <w:szCs w:val="22"/>
        </w:rPr>
      </w:pPr>
      <w:r>
        <w:rPr>
          <w:rFonts w:eastAsia="Bookman Old Style"/>
          <w:b/>
          <w:bCs/>
          <w:sz w:val="22"/>
          <w:szCs w:val="22"/>
        </w:rPr>
      </w:r>
    </w:p>
    <w:p>
      <w:pPr>
        <w:pStyle w:val="Normalny1"/>
        <w:ind w:hanging="360" w:left="360"/>
        <w:jc w:val="both"/>
        <w:rPr>
          <w:rFonts w:eastAsia="Bookman Old Style"/>
          <w:sz w:val="22"/>
          <w:szCs w:val="22"/>
        </w:rPr>
      </w:pPr>
      <w:r>
        <w:rPr>
          <w:rFonts w:eastAsia="Bookman Old Style"/>
          <w:sz w:val="22"/>
          <w:szCs w:val="22"/>
        </w:rPr>
        <w:t>1.</w:t>
        <w:tab/>
        <w:t>Zamawiający może rozwiązać umowę z wykonawcą w trybie natychmiastowym w przypadku gdy:</w:t>
      </w:r>
    </w:p>
    <w:p>
      <w:pPr>
        <w:pStyle w:val="Normalny1"/>
        <w:numPr>
          <w:ilvl w:val="0"/>
          <w:numId w:val="7"/>
        </w:numPr>
        <w:ind w:firstLine="66" w:left="360"/>
        <w:jc w:val="both"/>
        <w:rPr>
          <w:rFonts w:eastAsia="Bookman Old Style"/>
          <w:sz w:val="22"/>
          <w:szCs w:val="22"/>
        </w:rPr>
      </w:pPr>
      <w:r>
        <w:rPr>
          <w:rFonts w:eastAsia="Bookman Old Style"/>
          <w:sz w:val="22"/>
          <w:szCs w:val="22"/>
        </w:rPr>
        <w:t>wykonawca utracił uprawnienia do wykonywania przedmiotu umowy,</w:t>
      </w:r>
    </w:p>
    <w:p>
      <w:pPr>
        <w:pStyle w:val="Normalny1"/>
        <w:numPr>
          <w:ilvl w:val="0"/>
          <w:numId w:val="7"/>
        </w:numPr>
        <w:ind w:firstLine="66" w:left="360"/>
        <w:jc w:val="both"/>
        <w:rPr>
          <w:rFonts w:eastAsia="Bookman Old Style"/>
          <w:dstrike/>
          <w:sz w:val="22"/>
          <w:szCs w:val="22"/>
        </w:rPr>
      </w:pPr>
      <w:r>
        <w:rPr>
          <w:rFonts w:eastAsia="Bookman Old Style"/>
          <w:sz w:val="22"/>
          <w:szCs w:val="22"/>
        </w:rPr>
        <w:t>w stosunku do wykonawcy zaistniały okoliczności wskazane w art. 109 ust. 1 pkt 4ustawy pzp.</w:t>
      </w:r>
    </w:p>
    <w:p>
      <w:pPr>
        <w:pStyle w:val="Normalny1"/>
        <w:numPr>
          <w:ilvl w:val="0"/>
          <w:numId w:val="7"/>
        </w:numPr>
        <w:ind w:hanging="283" w:left="709"/>
        <w:jc w:val="both"/>
        <w:rPr>
          <w:rFonts w:eastAsia="Bookman Old Style"/>
          <w:sz w:val="22"/>
          <w:szCs w:val="22"/>
        </w:rPr>
      </w:pPr>
      <w:r>
        <w:rPr>
          <w:rFonts w:eastAsia="Bookman Old Style"/>
          <w:sz w:val="22"/>
          <w:szCs w:val="22"/>
        </w:rPr>
        <w:t>wykonawca nie rozpoczął realizacji umowy w terminie 14 dni od jej podpisania,</w:t>
      </w:r>
    </w:p>
    <w:p>
      <w:pPr>
        <w:pStyle w:val="Normalny1"/>
        <w:numPr>
          <w:ilvl w:val="0"/>
          <w:numId w:val="7"/>
        </w:numPr>
        <w:ind w:hanging="283" w:left="709"/>
        <w:jc w:val="both"/>
        <w:rPr>
          <w:rFonts w:eastAsia="Bookman Old Style"/>
          <w:sz w:val="22"/>
          <w:szCs w:val="22"/>
        </w:rPr>
      </w:pPr>
      <w:r>
        <w:rPr>
          <w:rFonts w:eastAsia="Bookman Old Style"/>
          <w:sz w:val="22"/>
          <w:szCs w:val="22"/>
        </w:rPr>
        <w:t>wykonawca wstrzymuje bez zgody zamawiającego roboty na okres dłuższy niż 7 dni roboczych,</w:t>
      </w:r>
    </w:p>
    <w:p>
      <w:pPr>
        <w:pStyle w:val="Normalny1"/>
        <w:numPr>
          <w:ilvl w:val="0"/>
          <w:numId w:val="7"/>
        </w:numPr>
        <w:ind w:hanging="283" w:left="709"/>
        <w:jc w:val="both"/>
        <w:rPr>
          <w:rFonts w:eastAsia="Bookman Old Style"/>
          <w:sz w:val="22"/>
          <w:szCs w:val="22"/>
        </w:rPr>
      </w:pPr>
      <w:r>
        <w:rPr>
          <w:rFonts w:eastAsia="Bookman Old Style"/>
          <w:sz w:val="22"/>
          <w:szCs w:val="22"/>
        </w:rPr>
        <w:t>wykonawca realizuje przy pomocy podwykonawców roboty zastrzeżone, w niniejszej umowie,                     do jego wyłącznej kompetencji,</w:t>
      </w:r>
    </w:p>
    <w:p>
      <w:pPr>
        <w:pStyle w:val="Normalny1"/>
        <w:numPr>
          <w:ilvl w:val="0"/>
          <w:numId w:val="7"/>
        </w:numPr>
        <w:ind w:hanging="283" w:left="709"/>
        <w:jc w:val="both"/>
        <w:rPr>
          <w:rFonts w:eastAsia="Bookman Old Style"/>
          <w:sz w:val="22"/>
          <w:szCs w:val="22"/>
        </w:rPr>
      </w:pPr>
      <w:r>
        <w:rPr>
          <w:rFonts w:eastAsia="Bookman Old Style"/>
          <w:sz w:val="22"/>
          <w:szCs w:val="22"/>
        </w:rPr>
        <w:t>wykonawca, mimo wezwania zamawiającego, realizuje przedmiot umowy w sposób niezgodny                            z opisem przedmiotu zamówienia, obowiązującymi przepisami i normami,</w:t>
      </w:r>
    </w:p>
    <w:p>
      <w:pPr>
        <w:pStyle w:val="Normalny1"/>
        <w:numPr>
          <w:ilvl w:val="0"/>
          <w:numId w:val="7"/>
        </w:numPr>
        <w:ind w:hanging="283" w:left="709"/>
        <w:jc w:val="both"/>
        <w:rPr>
          <w:rFonts w:eastAsia="Bookman Old Style"/>
          <w:sz w:val="22"/>
          <w:szCs w:val="22"/>
        </w:rPr>
      </w:pPr>
      <w:r>
        <w:rPr>
          <w:rFonts w:eastAsia="Bookman Old Style"/>
          <w:sz w:val="22"/>
          <w:szCs w:val="22"/>
        </w:rPr>
        <w:t>podwykonawca lub dalszy podwykonawca wskazany przez wykonawcę (podmiot udostępniający zasoby) nie spełnia samodzielnie warunków udziału w postępowaniu,</w:t>
      </w:r>
    </w:p>
    <w:p>
      <w:pPr>
        <w:pStyle w:val="Normalny1"/>
        <w:numPr>
          <w:ilvl w:val="1"/>
          <w:numId w:val="7"/>
        </w:numPr>
        <w:tabs>
          <w:tab w:val="clear" w:pos="709"/>
          <w:tab w:val="left" w:pos="360" w:leader="none"/>
        </w:tabs>
        <w:ind w:hanging="360" w:left="360"/>
        <w:jc w:val="both"/>
        <w:rPr>
          <w:rFonts w:eastAsia="Bookman Old Style"/>
          <w:color w:val="FF0000"/>
          <w:sz w:val="22"/>
          <w:szCs w:val="22"/>
        </w:rPr>
      </w:pPr>
      <w:r>
        <w:rPr>
          <w:rFonts w:eastAsia="Bookman Old Style"/>
          <w:sz w:val="22"/>
          <w:szCs w:val="22"/>
        </w:rPr>
        <w:t>Zamawiający może odstąpić od umowy w przypadkach określonych w art. 456 ustawy pzp</w:t>
      </w:r>
      <w:r>
        <w:rPr>
          <w:rFonts w:eastAsia="Bookman Old Style"/>
          <w:color w:val="FF0000"/>
          <w:sz w:val="22"/>
          <w:szCs w:val="22"/>
        </w:rPr>
        <w:t>.</w:t>
      </w:r>
    </w:p>
    <w:p>
      <w:pPr>
        <w:pStyle w:val="Normalny1"/>
        <w:numPr>
          <w:ilvl w:val="1"/>
          <w:numId w:val="7"/>
        </w:numPr>
        <w:tabs>
          <w:tab w:val="clear" w:pos="709"/>
          <w:tab w:val="left" w:pos="360" w:leader="none"/>
        </w:tabs>
        <w:ind w:hanging="360" w:left="360"/>
        <w:jc w:val="both"/>
        <w:rPr>
          <w:rFonts w:eastAsia="Bookman Old Style"/>
          <w:sz w:val="22"/>
          <w:szCs w:val="22"/>
        </w:rPr>
      </w:pPr>
      <w:r>
        <w:rPr>
          <w:rFonts w:eastAsia="Bookman Old Style"/>
          <w:sz w:val="22"/>
          <w:szCs w:val="22"/>
        </w:rPr>
        <w:t>W przypadku rozwiązania umowy przez jedną ze stron, lub odstąpienia przez zamawiającego, wykonawca ma obowiązek wstrzymania realizacji przedmiotu umowy w trybie natychmiastowym, oraz zabezpieczenia, a następnie opuszczenia terenu realizacji robót, przekazania zamawiającemu wszystkich uzyskanych dokumentów, pozwoleń, zgód i pełnomocnictw, przekazania opracowanej dokumentacji  oraz do dokonania inwentaryzacji wykonanego zakresu. Inwentaryzację akceptują i zatwierdzają koordynatorzy/ inspektorzy nadzoru/ kierownicy.</w:t>
      </w:r>
    </w:p>
    <w:p>
      <w:pPr>
        <w:pStyle w:val="Normalny1"/>
        <w:numPr>
          <w:ilvl w:val="1"/>
          <w:numId w:val="7"/>
        </w:numPr>
        <w:tabs>
          <w:tab w:val="clear" w:pos="709"/>
          <w:tab w:val="left" w:pos="360" w:leader="none"/>
        </w:tabs>
        <w:ind w:hanging="360" w:left="360"/>
        <w:jc w:val="both"/>
        <w:rPr>
          <w:rFonts w:eastAsia="Bookman Old Style"/>
          <w:sz w:val="22"/>
          <w:szCs w:val="22"/>
        </w:rPr>
      </w:pPr>
      <w:r>
        <w:rPr>
          <w:rFonts w:eastAsia="Bookman Old Style"/>
          <w:sz w:val="22"/>
          <w:szCs w:val="22"/>
        </w:rPr>
        <w:t xml:space="preserve">Inwentaryzacja zostanie wykonana </w:t>
      </w:r>
      <w:r>
        <w:rPr>
          <w:sz w:val="22"/>
          <w:szCs w:val="22"/>
          <w:lang w:eastAsia="pl-PL"/>
        </w:rPr>
        <w:t>zgodnie ze stawkami określonymi w przekazanym zamawiającemu kosztorysie ofertowym.</w:t>
      </w:r>
    </w:p>
    <w:p>
      <w:pPr>
        <w:pStyle w:val="Normalny1"/>
        <w:numPr>
          <w:ilvl w:val="1"/>
          <w:numId w:val="7"/>
        </w:numPr>
        <w:tabs>
          <w:tab w:val="clear" w:pos="709"/>
          <w:tab w:val="left" w:pos="360" w:leader="none"/>
        </w:tabs>
        <w:ind w:hanging="360" w:left="360"/>
        <w:jc w:val="both"/>
        <w:rPr>
          <w:rFonts w:eastAsia="Bookman Old Style"/>
          <w:sz w:val="22"/>
          <w:szCs w:val="22"/>
        </w:rPr>
      </w:pPr>
      <w:r>
        <w:rPr>
          <w:rFonts w:eastAsia="Bookman Old Style"/>
          <w:sz w:val="22"/>
          <w:szCs w:val="22"/>
        </w:rPr>
        <w:t>Na podstawie dokonanej inwentaryzacji zostanie wystawione świadectwo płatności obejmujące wartość wykonanego przedmiotu umowy.</w:t>
      </w:r>
    </w:p>
    <w:p>
      <w:pPr>
        <w:pStyle w:val="Normalny1"/>
        <w:ind w:hanging="360" w:left="360"/>
        <w:jc w:val="center"/>
        <w:rPr>
          <w:rFonts w:eastAsia="Bookman Old Style"/>
          <w:b/>
          <w:bCs/>
          <w:sz w:val="22"/>
          <w:szCs w:val="22"/>
        </w:rPr>
      </w:pPr>
      <w:r>
        <w:rPr>
          <w:rFonts w:eastAsia="Bookman Old Style"/>
          <w:b/>
          <w:bCs/>
          <w:sz w:val="22"/>
          <w:szCs w:val="22"/>
        </w:rPr>
      </w:r>
    </w:p>
    <w:p>
      <w:pPr>
        <w:pStyle w:val="Normalny1"/>
        <w:ind w:hanging="360" w:left="360"/>
        <w:jc w:val="center"/>
        <w:rPr>
          <w:rFonts w:eastAsia="Bookman Old Style"/>
          <w:b/>
          <w:bCs/>
          <w:sz w:val="22"/>
          <w:szCs w:val="22"/>
        </w:rPr>
      </w:pPr>
      <w:r>
        <w:rPr>
          <w:rFonts w:eastAsia="Bookman Old Style"/>
          <w:b/>
          <w:bCs/>
          <w:sz w:val="22"/>
          <w:szCs w:val="22"/>
        </w:rPr>
        <w:t>§ 10.</w:t>
      </w:r>
    </w:p>
    <w:p>
      <w:pPr>
        <w:pStyle w:val="Normalny1"/>
        <w:jc w:val="center"/>
        <w:rPr>
          <w:rFonts w:eastAsia="Bookman Old Style"/>
          <w:b/>
          <w:bCs/>
          <w:sz w:val="22"/>
          <w:szCs w:val="22"/>
        </w:rPr>
      </w:pPr>
      <w:r>
        <w:rPr>
          <w:rFonts w:eastAsia="Bookman Old Style"/>
          <w:b/>
          <w:bCs/>
          <w:sz w:val="22"/>
          <w:szCs w:val="22"/>
        </w:rPr>
        <w:t>Kary umowne</w:t>
      </w:r>
    </w:p>
    <w:p>
      <w:pPr>
        <w:pStyle w:val="Normalny1"/>
        <w:jc w:val="center"/>
        <w:rPr>
          <w:rFonts w:eastAsia="Bookman Old Style"/>
          <w:b/>
          <w:bCs/>
          <w:sz w:val="22"/>
          <w:szCs w:val="22"/>
        </w:rPr>
      </w:pPr>
      <w:r>
        <w:rPr>
          <w:rFonts w:eastAsia="Bookman Old Style"/>
          <w:b/>
          <w:bCs/>
          <w:sz w:val="22"/>
          <w:szCs w:val="22"/>
        </w:rPr>
      </w:r>
    </w:p>
    <w:p>
      <w:pPr>
        <w:pStyle w:val="Normalny1"/>
        <w:numPr>
          <w:ilvl w:val="0"/>
          <w:numId w:val="12"/>
        </w:numPr>
        <w:ind w:hanging="426" w:left="426"/>
        <w:jc w:val="both"/>
        <w:rPr>
          <w:rFonts w:eastAsia="Bookman Old Style"/>
          <w:sz w:val="22"/>
          <w:szCs w:val="22"/>
        </w:rPr>
      </w:pPr>
      <w:r>
        <w:rPr>
          <w:rFonts w:eastAsia="Bookman Old Style"/>
          <w:sz w:val="22"/>
          <w:szCs w:val="22"/>
        </w:rPr>
        <w:t>W przypadku rozwiązania niniejszej umowy przez którąkolwiek ze stron z przyczyn zależnych                             od wykonawcy, związanych bezpośrednio lub pośrednio z przedmiotem umowy lub jej prawidłowym wykonaniem, w szczególności wskazanych w § 9 ust. 1, wykonawca jest zobowiązany zapłacić zamawiającemu karę umowną w wysokości 25 % wartości przedmiotu umowy wskazanej w § 2 ust. 1 umowy.</w:t>
      </w:r>
    </w:p>
    <w:p>
      <w:pPr>
        <w:pStyle w:val="Normalny1"/>
        <w:numPr>
          <w:ilvl w:val="0"/>
          <w:numId w:val="12"/>
        </w:numPr>
        <w:ind w:hanging="426" w:left="426"/>
        <w:jc w:val="both"/>
        <w:rPr>
          <w:rFonts w:eastAsia="Bookman Old Style"/>
          <w:sz w:val="22"/>
          <w:szCs w:val="22"/>
        </w:rPr>
      </w:pPr>
      <w:r>
        <w:rPr>
          <w:sz w:val="22"/>
          <w:szCs w:val="22"/>
        </w:rPr>
        <w:t>Wykonawca zapłaci zamawiającemu kary umowne w przypadku wystąpienia następujących okoliczności:</w:t>
      </w:r>
    </w:p>
    <w:p>
      <w:pPr>
        <w:pStyle w:val="Tekstpodstawowy21"/>
        <w:numPr>
          <w:ilvl w:val="0"/>
          <w:numId w:val="10"/>
        </w:numPr>
        <w:tabs>
          <w:tab w:val="clear" w:pos="709"/>
          <w:tab w:val="left" w:pos="567" w:leader="none"/>
        </w:tabs>
        <w:ind w:hanging="283" w:left="567"/>
        <w:rPr>
          <w:rFonts w:ascii="Times New Roman" w:hAnsi="Times New Roman" w:cs="Times New Roman"/>
          <w:sz w:val="22"/>
          <w:szCs w:val="22"/>
        </w:rPr>
      </w:pPr>
      <w:r>
        <w:rPr>
          <w:rFonts w:cs="Times New Roman" w:ascii="Times New Roman" w:hAnsi="Times New Roman"/>
          <w:sz w:val="22"/>
          <w:szCs w:val="22"/>
        </w:rPr>
        <w:t>brak zapłaty lub nieterminowej zapłaty wynagrodzenia należnego podwykonawcom lub dalszym podwykonawcom - w wysokości  5 000 zł za każdy brak zapłaty lub każdą nieterminową zapłatę,</w:t>
      </w:r>
    </w:p>
    <w:p>
      <w:pPr>
        <w:pStyle w:val="Tekstpodstawowy21"/>
        <w:numPr>
          <w:ilvl w:val="0"/>
          <w:numId w:val="10"/>
        </w:numPr>
        <w:tabs>
          <w:tab w:val="clear" w:pos="709"/>
          <w:tab w:val="left" w:pos="567" w:leader="none"/>
        </w:tabs>
        <w:ind w:hanging="283" w:left="567"/>
        <w:rPr>
          <w:rFonts w:ascii="Times New Roman" w:hAnsi="Times New Roman" w:cs="Times New Roman"/>
          <w:sz w:val="22"/>
          <w:szCs w:val="22"/>
        </w:rPr>
      </w:pPr>
      <w:r>
        <w:rPr>
          <w:rFonts w:cs="Times New Roman" w:ascii="Times New Roman" w:hAnsi="Times New Roman"/>
          <w:sz w:val="22"/>
          <w:szCs w:val="22"/>
        </w:rPr>
        <w:t>nieprzedłożenia do zaakceptowania projektu umowy o podwykonawstwo, której przedmiotem                           są roboty budowlane, lub projektu jej zmiany - w wysokości 4 000 zł,</w:t>
      </w:r>
    </w:p>
    <w:p>
      <w:pPr>
        <w:pStyle w:val="Tekstpodstawowy21"/>
        <w:numPr>
          <w:ilvl w:val="0"/>
          <w:numId w:val="10"/>
        </w:numPr>
        <w:tabs>
          <w:tab w:val="clear" w:pos="709"/>
          <w:tab w:val="left" w:pos="567" w:leader="none"/>
        </w:tabs>
        <w:ind w:hanging="283" w:left="567"/>
        <w:rPr>
          <w:rFonts w:ascii="Times New Roman" w:hAnsi="Times New Roman" w:cs="Times New Roman"/>
          <w:sz w:val="22"/>
          <w:szCs w:val="22"/>
        </w:rPr>
      </w:pPr>
      <w:r>
        <w:rPr>
          <w:rFonts w:cs="Times New Roman" w:ascii="Times New Roman" w:hAnsi="Times New Roman"/>
          <w:sz w:val="22"/>
          <w:szCs w:val="22"/>
        </w:rPr>
        <w:t>nieprzedłożenia poświadczonej za zgodność z oryginałem kopii umowy o podwykonawstwo                        lub jej zmiany – w wysokości 4 000,00 zł,</w:t>
      </w:r>
    </w:p>
    <w:p>
      <w:pPr>
        <w:pStyle w:val="Tekstpodstawowy21"/>
        <w:numPr>
          <w:ilvl w:val="0"/>
          <w:numId w:val="10"/>
        </w:numPr>
        <w:tabs>
          <w:tab w:val="clear" w:pos="709"/>
          <w:tab w:val="left" w:pos="567" w:leader="none"/>
        </w:tabs>
        <w:ind w:hanging="283" w:left="567"/>
        <w:rPr>
          <w:rFonts w:ascii="Times New Roman" w:hAnsi="Times New Roman" w:cs="Times New Roman"/>
          <w:sz w:val="22"/>
          <w:szCs w:val="22"/>
        </w:rPr>
      </w:pPr>
      <w:r>
        <w:rPr>
          <w:rFonts w:cs="Times New Roman" w:ascii="Times New Roman" w:hAnsi="Times New Roman"/>
          <w:sz w:val="22"/>
          <w:szCs w:val="22"/>
        </w:rPr>
        <w:t>braku zmiany umowy o podwykonawstwo w zakresie terminu zapłaty – w wysokości 3 000,00 zł,</w:t>
      </w:r>
    </w:p>
    <w:p>
      <w:pPr>
        <w:pStyle w:val="Tekstpodstawowy21"/>
        <w:numPr>
          <w:ilvl w:val="0"/>
          <w:numId w:val="10"/>
        </w:numPr>
        <w:tabs>
          <w:tab w:val="clear" w:pos="709"/>
          <w:tab w:val="left" w:pos="567" w:leader="none"/>
        </w:tabs>
        <w:ind w:hanging="283" w:left="567"/>
        <w:rPr>
          <w:rFonts w:ascii="Times New Roman" w:hAnsi="Times New Roman" w:cs="Times New Roman"/>
          <w:sz w:val="22"/>
          <w:szCs w:val="22"/>
        </w:rPr>
      </w:pPr>
      <w:r>
        <w:rPr>
          <w:rFonts w:cs="Times New Roman" w:ascii="Times New Roman" w:hAnsi="Times New Roman"/>
          <w:sz w:val="22"/>
          <w:szCs w:val="22"/>
        </w:rPr>
        <w:t>braku zapłaty wynagrodzenia należnego podwykonawcy jeżeli w wyniku zmiany wartości umowy na podstawie waloryzacji doszło do zmian cen w zakresie w jakim uczestniczą podwykonawcy - w wysokości 4 000,00 zł, za każdy brak zapłaty lub każdą nieterminową zapłatę.</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zamawiającemu karę umowną w wysokości 0,15 % wartości umowy za każdy dzień zwłoki w realizacji przedmiotu umowy.</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zamawiającemu karę umowną w wysokości 0,15 % wartości umowy za każdy dzień zwłoki w usunięciu wad lub usterek stwierdzonych przy odbiorze końcowym,</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zamawiającemu karę umowną w wysokości 0,15 % wartości umowy  za każdy dzień zwłoki w terminie przewidzianym na usunięcie wad lub usterek stwierdzonych w okresie gwarancji rękojmi.</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zamawiającemu karę umowną w wysokości 3 000 zł za niezałączenie do faktury wymaganego zgodnie z § 5 ust. 1 umowy wykazu osób realizujących cały zakres rzeczowy robót budowlanych, a także wymaganych zapisami specyfikacji oświadczeń tych osób i dodatkowo naliczy               za każdego pracownika objętego przedmiotowym obowiązkiem wykazanego w liście karę w wysokości  300 zł (tj. brak załączenia oświadczenia każdej z tych osób, że przez okres wykonywania czynności,                 o których mowa w § 5 ust. 2 była zatrudniona na podstawie umowy o pracę przez wykonawcę lub podwykonawcę).</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karę umowną za brak przedłożenia zamawiającemu pełnego składu osobowego pracowników zatrudnionych na podstawie umowy o pracę, realizujących przedmiot umowy wraz z określeniem funkcji jaką będą pełnić najpóźniej w dniu przekazania terenu budowy i aktualizowania na bieżąco – tj. za każdym razem, gdy nastąpi zmiana personelu realizującego przedmiot umowy - w wysokości 2 000 zł</w:t>
      </w:r>
    </w:p>
    <w:p>
      <w:pPr>
        <w:pStyle w:val="Tekstpodstawowy21"/>
        <w:numPr>
          <w:ilvl w:val="0"/>
          <w:numId w:val="12"/>
        </w:numPr>
        <w:ind w:hanging="426" w:left="426"/>
        <w:rPr>
          <w:rFonts w:ascii="Times New Roman" w:hAnsi="Times New Roman" w:cs="Times New Roman"/>
          <w:sz w:val="22"/>
          <w:szCs w:val="22"/>
        </w:rPr>
      </w:pPr>
      <w:r>
        <w:rPr>
          <w:rFonts w:cs="Times New Roman" w:ascii="Times New Roman" w:hAnsi="Times New Roman"/>
          <w:sz w:val="22"/>
          <w:szCs w:val="22"/>
        </w:rPr>
        <w:t>Wykonawca zapłaci zamawiającemu karę umowną w wysokości 2 000 zł za brak przedłożenia:</w:t>
      </w:r>
    </w:p>
    <w:p>
      <w:pPr>
        <w:pStyle w:val="Tekstpodstawowy21"/>
        <w:rPr>
          <w:rFonts w:ascii="Times New Roman" w:hAnsi="Times New Roman" w:cs="Times New Roman"/>
          <w:sz w:val="22"/>
          <w:szCs w:val="22"/>
        </w:rPr>
      </w:pPr>
      <w:r>
        <w:rPr>
          <w:rFonts w:cs="Times New Roman" w:ascii="Times New Roman" w:hAnsi="Times New Roman"/>
          <w:sz w:val="22"/>
          <w:szCs w:val="22"/>
        </w:rPr>
        <w:t>-</w:t>
        <w:tab/>
        <w:t xml:space="preserve">kopii uprawnień budowlanych oraz aktualnych zaświadczeń o przynależności do właściwej izby samorządu zawodowego osób wskazanych do realizacji zamówienia, zgodnie z warunkami udziału w postępowaniu, </w:t>
      </w:r>
    </w:p>
    <w:p>
      <w:pPr>
        <w:pStyle w:val="Tekstpodstawowy21"/>
        <w:rPr>
          <w:rFonts w:ascii="Times New Roman" w:hAnsi="Times New Roman" w:cs="Times New Roman"/>
          <w:sz w:val="22"/>
          <w:szCs w:val="22"/>
        </w:rPr>
      </w:pPr>
      <w:r>
        <w:rPr>
          <w:rFonts w:cs="Times New Roman" w:ascii="Times New Roman" w:hAnsi="Times New Roman"/>
          <w:sz w:val="22"/>
          <w:szCs w:val="22"/>
        </w:rPr>
        <w:t>-</w:t>
        <w:tab/>
        <w:t>uzupełnionych zaświadczeń, osób wskazanych do realizacji zamówienia  potwierdzające wpis na listę członków właściwej izby samorządu zawodowego w przypadku utraty ważności dotychczasowych.</w:t>
      </w:r>
    </w:p>
    <w:p>
      <w:pPr>
        <w:pStyle w:val="Tekstpodstawowy21"/>
        <w:ind w:hanging="425" w:left="425"/>
        <w:rPr>
          <w:rFonts w:ascii="Times New Roman" w:hAnsi="Times New Roman" w:cs="Times New Roman"/>
          <w:sz w:val="22"/>
          <w:szCs w:val="22"/>
        </w:rPr>
      </w:pPr>
      <w:r>
        <w:rPr>
          <w:rFonts w:cs="Times New Roman" w:ascii="Times New Roman" w:hAnsi="Times New Roman"/>
          <w:sz w:val="22"/>
          <w:szCs w:val="22"/>
        </w:rPr>
        <w:t xml:space="preserve">9.    W przypadku nie wykonania obowiązku o którym mowa w </w:t>
      </w:r>
      <w:r>
        <w:rPr>
          <w:rFonts w:cs="Times New Roman" w:ascii="Times New Roman" w:hAnsi="Times New Roman"/>
          <w:bCs/>
          <w:sz w:val="22"/>
          <w:szCs w:val="22"/>
        </w:rPr>
        <w:t>§ 2 ust. 29, Wykonawca zapłaci Zamawiającemu karę umowną w wysokości stanowiącej równowartość podatku VAT w stosunku  do której Zamawiający utracił prawo do odliczenia, powiększonej o odsetki zapłacone do Urzędu Skarbowego przez Zamawiającego.</w:t>
      </w:r>
    </w:p>
    <w:p>
      <w:pPr>
        <w:pStyle w:val="Tekstpodstawowy21"/>
        <w:ind w:hanging="425" w:left="425"/>
        <w:rPr>
          <w:rFonts w:ascii="Times New Roman" w:hAnsi="Times New Roman" w:cs="Times New Roman"/>
          <w:sz w:val="22"/>
          <w:szCs w:val="22"/>
        </w:rPr>
      </w:pPr>
      <w:r>
        <w:rPr>
          <w:rFonts w:cs="Times New Roman" w:ascii="Times New Roman" w:hAnsi="Times New Roman"/>
          <w:sz w:val="22"/>
          <w:szCs w:val="22"/>
        </w:rPr>
        <w:t>10.  Zamawiający zastrzega sobie prawo do dochodzenia odszkodowania uzupełniającego, przekraczającego wysokość kar umownych, do wysokości rzeczywiście poniesionej szkody.</w:t>
      </w:r>
    </w:p>
    <w:p>
      <w:pPr>
        <w:pStyle w:val="Tekstpodstawowy21"/>
        <w:ind w:hanging="425" w:left="425"/>
        <w:rPr>
          <w:rFonts w:ascii="Times New Roman" w:hAnsi="Times New Roman" w:cs="Times New Roman"/>
          <w:sz w:val="22"/>
          <w:szCs w:val="22"/>
        </w:rPr>
      </w:pPr>
      <w:r>
        <w:rPr>
          <w:rFonts w:cs="Times New Roman" w:ascii="Times New Roman" w:hAnsi="Times New Roman"/>
          <w:sz w:val="22"/>
          <w:szCs w:val="22"/>
        </w:rPr>
        <w:t>11. Zamawiający zastrzega sobie prawo do potrącenia kar umownych z wynagrodzenia Wykonawcy należnego z tytułu realizacji niniejszej umowy.</w:t>
      </w:r>
    </w:p>
    <w:p>
      <w:pPr>
        <w:pStyle w:val="Tekstpodstawowy21"/>
        <w:ind w:hanging="425" w:left="425"/>
        <w:rPr>
          <w:rFonts w:ascii="Times New Roman" w:hAnsi="Times New Roman" w:cs="Times New Roman"/>
          <w:sz w:val="22"/>
          <w:szCs w:val="22"/>
        </w:rPr>
      </w:pPr>
      <w:r>
        <w:rPr>
          <w:rFonts w:cs="Times New Roman" w:ascii="Times New Roman" w:hAnsi="Times New Roman"/>
          <w:sz w:val="22"/>
          <w:szCs w:val="22"/>
        </w:rPr>
        <w:t>12.   Łączna maksymalna wysokość kar umownych, których mogą dochodzić strony nie może przekroczyć 40%  wartości przedmiotu umowy wskazanej w § 2 ust. 1 umowy.</w:t>
      </w:r>
    </w:p>
    <w:p>
      <w:pPr>
        <w:pStyle w:val="Tekstpodstawowy21"/>
        <w:ind w:hanging="425" w:left="425"/>
        <w:rPr>
          <w:rFonts w:ascii="Times New Roman" w:hAnsi="Times New Roman" w:cs="Times New Roman"/>
          <w:sz w:val="22"/>
          <w:szCs w:val="22"/>
        </w:rPr>
      </w:pPr>
      <w:r>
        <w:rPr>
          <w:rFonts w:cs="Times New Roman" w:ascii="Times New Roman" w:hAnsi="Times New Roman"/>
          <w:sz w:val="22"/>
          <w:szCs w:val="22"/>
        </w:rPr>
      </w:r>
    </w:p>
    <w:p>
      <w:pPr>
        <w:pStyle w:val="Tekstpodstawowy21"/>
        <w:rPr>
          <w:rFonts w:ascii="Times New Roman" w:hAnsi="Times New Roman" w:cs="Times New Roman"/>
          <w:sz w:val="22"/>
          <w:szCs w:val="22"/>
        </w:rPr>
      </w:pPr>
      <w:r>
        <w:rPr>
          <w:rFonts w:cs="Times New Roman" w:ascii="Times New Roman" w:hAnsi="Times New Roman"/>
          <w:sz w:val="22"/>
          <w:szCs w:val="22"/>
        </w:rPr>
      </w:r>
    </w:p>
    <w:p>
      <w:pPr>
        <w:pStyle w:val="Normalny3"/>
        <w:jc w:val="center"/>
        <w:rPr>
          <w:rFonts w:eastAsia="Bookman Old Style"/>
          <w:b/>
          <w:bCs/>
          <w:sz w:val="22"/>
          <w:szCs w:val="22"/>
        </w:rPr>
      </w:pPr>
      <w:r>
        <w:rPr>
          <w:rFonts w:eastAsia="Bookman Old Style"/>
          <w:b/>
          <w:bCs/>
          <w:sz w:val="22"/>
          <w:szCs w:val="22"/>
        </w:rPr>
        <w:t xml:space="preserve">§ 11 </w:t>
      </w:r>
    </w:p>
    <w:p>
      <w:pPr>
        <w:pStyle w:val="Normalny3"/>
        <w:ind w:hanging="426" w:left="426"/>
        <w:jc w:val="center"/>
        <w:rPr>
          <w:rFonts w:eastAsia="Bookman Old Style"/>
          <w:b/>
          <w:bCs/>
          <w:sz w:val="22"/>
          <w:szCs w:val="22"/>
        </w:rPr>
      </w:pPr>
      <w:r>
        <w:rPr>
          <w:rFonts w:eastAsia="Bookman Old Style"/>
          <w:b/>
          <w:bCs/>
          <w:sz w:val="22"/>
          <w:szCs w:val="22"/>
        </w:rPr>
        <w:t>Zabezpieczenie należytego wykonania umowy</w:t>
      </w:r>
    </w:p>
    <w:p>
      <w:pPr>
        <w:pStyle w:val="Normalny3"/>
        <w:ind w:hanging="426" w:left="426"/>
        <w:jc w:val="center"/>
        <w:rPr>
          <w:rFonts w:eastAsia="Bookman Old Style"/>
          <w:b/>
          <w:bCs/>
          <w:sz w:val="22"/>
          <w:szCs w:val="22"/>
        </w:rPr>
      </w:pPr>
      <w:r>
        <w:rPr>
          <w:rFonts w:eastAsia="Bookman Old Style"/>
          <w:b/>
          <w:bCs/>
          <w:sz w:val="22"/>
          <w:szCs w:val="22"/>
        </w:rPr>
      </w:r>
    </w:p>
    <w:p>
      <w:pPr>
        <w:pStyle w:val="Normalny3"/>
        <w:numPr>
          <w:ilvl w:val="0"/>
          <w:numId w:val="15"/>
        </w:numPr>
        <w:jc w:val="both"/>
        <w:rPr>
          <w:rFonts w:eastAsia="Bookman Old Style"/>
          <w:sz w:val="22"/>
          <w:szCs w:val="22"/>
        </w:rPr>
      </w:pPr>
      <w:r>
        <w:rPr>
          <w:rFonts w:eastAsia="Bookman Old Style"/>
          <w:sz w:val="22"/>
          <w:szCs w:val="22"/>
        </w:rPr>
        <w:t xml:space="preserve">Wykonawca wnosi zabezpieczenie należytego wykonania umowy w wysokości </w:t>
      </w:r>
      <w:r>
        <w:rPr>
          <w:rFonts w:eastAsia="Bookman Old Style"/>
          <w:b/>
          <w:sz w:val="22"/>
          <w:szCs w:val="22"/>
        </w:rPr>
        <w:t xml:space="preserve">5 % </w:t>
      </w:r>
      <w:r>
        <w:rPr>
          <w:rFonts w:eastAsia="Bookman Old Style"/>
          <w:sz w:val="22"/>
          <w:szCs w:val="22"/>
        </w:rPr>
        <w:t>wartości przedmiotu niniejszej umowy w formie: ………………………………</w:t>
      </w:r>
    </w:p>
    <w:p>
      <w:pPr>
        <w:pStyle w:val="Normalny3"/>
        <w:numPr>
          <w:ilvl w:val="0"/>
          <w:numId w:val="15"/>
        </w:numPr>
        <w:jc w:val="both"/>
        <w:rPr>
          <w:rFonts w:eastAsia="Bookman Old Style"/>
          <w:sz w:val="22"/>
          <w:szCs w:val="22"/>
        </w:rPr>
      </w:pPr>
      <w:r>
        <w:rPr>
          <w:rFonts w:eastAsia="Bookman Old Style"/>
          <w:sz w:val="22"/>
          <w:szCs w:val="22"/>
        </w:rPr>
        <w:t>Strony postanawiają, że zabezpieczenie służyć będzie pokryciu wszelkich roszczeń zamawiającego</w:t>
        <w:br/>
        <w:t xml:space="preserve">z tytułu niewykonania lub nienależytego wykonania umowy przez wykonawcę. </w:t>
      </w:r>
    </w:p>
    <w:p>
      <w:pPr>
        <w:pStyle w:val="Normalny3"/>
        <w:numPr>
          <w:ilvl w:val="0"/>
          <w:numId w:val="15"/>
        </w:numPr>
        <w:jc w:val="both"/>
        <w:rPr>
          <w:rFonts w:eastAsia="Bookman Old Style"/>
          <w:sz w:val="22"/>
          <w:szCs w:val="22"/>
        </w:rPr>
      </w:pPr>
      <w:r>
        <w:rPr>
          <w:rFonts w:eastAsia="Bookman Old Style"/>
          <w:sz w:val="22"/>
          <w:szCs w:val="22"/>
        </w:rPr>
        <w:t xml:space="preserve">Zabezpieczenie dotyczyć będzie również roszczeń co do kompletności i jakości opracowanych przez Wykonawcę dokumentów, materiałów i wniosków przekazanych zamawiającemu i służących </w:t>
        <w:br/>
        <w:t>w szczególności do uzyskania pozwolenia na użytkowanie.</w:t>
      </w:r>
    </w:p>
    <w:p>
      <w:pPr>
        <w:pStyle w:val="Normalny3"/>
        <w:numPr>
          <w:ilvl w:val="0"/>
          <w:numId w:val="15"/>
        </w:numPr>
        <w:jc w:val="both"/>
        <w:rPr>
          <w:rFonts w:eastAsia="Bookman Old Style"/>
          <w:sz w:val="22"/>
          <w:szCs w:val="22"/>
        </w:rPr>
      </w:pPr>
      <w:r>
        <w:rPr>
          <w:rFonts w:eastAsia="Bookman Old Style"/>
          <w:sz w:val="22"/>
          <w:szCs w:val="22"/>
        </w:rPr>
        <w:t xml:space="preserve">Po prawidłowej realizacji przedmiotu zamówienia 30 % wartości nominalnej zabezpieczenia przeznaczone będzie na pokrycie ewentualnych roszczeń z tytułu rękojmi za wady i zostanie pozostawione na okres trwania rękojmi tj. </w:t>
      </w:r>
      <w:r>
        <w:rPr>
          <w:rFonts w:eastAsia="Bookman Old Style"/>
          <w:bCs/>
          <w:sz w:val="22"/>
          <w:szCs w:val="22"/>
        </w:rPr>
        <w:t>w okresie ……….. lat</w:t>
      </w:r>
      <w:r>
        <w:rPr>
          <w:rFonts w:eastAsia="Bookman Old Style"/>
          <w:sz w:val="22"/>
          <w:szCs w:val="22"/>
        </w:rPr>
        <w:t xml:space="preserve"> w zakresie robót budowlanych.</w:t>
      </w:r>
    </w:p>
    <w:p>
      <w:pPr>
        <w:pStyle w:val="Normal"/>
        <w:numPr>
          <w:ilvl w:val="0"/>
          <w:numId w:val="15"/>
        </w:numPr>
        <w:jc w:val="both"/>
        <w:rPr>
          <w:rFonts w:eastAsia="Bookman Old Style"/>
          <w:sz w:val="22"/>
          <w:szCs w:val="22"/>
        </w:rPr>
      </w:pPr>
      <w:r>
        <w:rPr>
          <w:rFonts w:eastAsia="Bookman Old Style"/>
          <w:sz w:val="22"/>
          <w:szCs w:val="22"/>
        </w:rPr>
        <w:t>Jeżeli wykonawca wniósł zabezpieczenie należytego wykonania umowy w formie poręczenia lub gwarancji na okres realizacji przedmiotu umowy, zobowiązany jest wnieść, nie później niż do dnia wskazanego jako dzień zakończenia umowy, zabezpieczenie służące pokryciu roszczeń z tytułu rękojmi za wady.</w:t>
      </w:r>
    </w:p>
    <w:p>
      <w:pPr>
        <w:pStyle w:val="Normal"/>
        <w:numPr>
          <w:ilvl w:val="0"/>
          <w:numId w:val="15"/>
        </w:numPr>
        <w:jc w:val="both"/>
        <w:rPr>
          <w:rFonts w:eastAsia="Bookman Old Style"/>
          <w:sz w:val="22"/>
          <w:szCs w:val="22"/>
        </w:rPr>
      </w:pPr>
      <w:r>
        <w:rPr>
          <w:rFonts w:eastAsia="Bookman Old Style"/>
          <w:sz w:val="22"/>
          <w:szCs w:val="22"/>
        </w:rPr>
        <w:t>W przypadku przedłużenia terminu realizacji zamówienia, wykonawca zobowiązany jest niezwłocznie przedłużyć ważność wniesionego zabezpieczenia lub wnieść nowe na wydłużony okres.</w:t>
      </w:r>
    </w:p>
    <w:p>
      <w:pPr>
        <w:pStyle w:val="Normal"/>
        <w:numPr>
          <w:ilvl w:val="0"/>
          <w:numId w:val="15"/>
        </w:numPr>
        <w:jc w:val="both"/>
        <w:rPr>
          <w:rFonts w:eastAsia="Bookman Old Style"/>
          <w:sz w:val="22"/>
          <w:szCs w:val="22"/>
        </w:rPr>
      </w:pPr>
      <w:r>
        <w:rPr>
          <w:rFonts w:eastAsia="Bookman Old Style"/>
          <w:sz w:val="22"/>
          <w:szCs w:val="22"/>
        </w:rPr>
        <w:t>Jeżeli wykonawca nie wypełnia postanowień ust. 5 lub 6, zamawiający zastrzega sobie prawo                               do wstrzymania wypłaty wynagrodzenia lub zajęcia na poczet zabezpieczenia jego odpowiedniej części.</w:t>
      </w:r>
    </w:p>
    <w:p>
      <w:pPr>
        <w:pStyle w:val="Normal"/>
        <w:numPr>
          <w:ilvl w:val="0"/>
          <w:numId w:val="15"/>
        </w:numPr>
        <w:jc w:val="both"/>
        <w:rPr>
          <w:rFonts w:eastAsia="Bookman Old Style"/>
          <w:sz w:val="22"/>
          <w:szCs w:val="22"/>
        </w:rPr>
      </w:pPr>
      <w:r>
        <w:rPr>
          <w:rFonts w:eastAsia="Bookman Old Style"/>
          <w:sz w:val="22"/>
          <w:szCs w:val="22"/>
        </w:rPr>
        <w:t xml:space="preserve">Jeżeli wykonawca nie będzie wywiązywał się z obowiązków wynikających z rękojmi za wady, zarówno </w:t>
        <w:br/>
        <w:t xml:space="preserve">w zakresie określonym w ust. 2 jak i 3, zamawiający zleci realizację zastępczą innemu podmiotowi, </w:t>
        <w:br/>
        <w:t xml:space="preserve">a </w:t>
      </w:r>
      <w:r>
        <w:rPr>
          <w:rFonts w:eastAsia="Bookman Old Style"/>
          <w:color w:themeColor="text1" w:val="000000"/>
          <w:sz w:val="22"/>
          <w:szCs w:val="22"/>
        </w:rPr>
        <w:t>zapłatę pokryje</w:t>
      </w:r>
      <w:r>
        <w:rPr>
          <w:rFonts w:eastAsia="Bookman Old Style"/>
          <w:sz w:val="22"/>
          <w:szCs w:val="22"/>
        </w:rPr>
        <w:t xml:space="preserve"> ze środków wniesionych na zabezpieczenie należytego wykonania umowy. </w:t>
      </w:r>
    </w:p>
    <w:p>
      <w:pPr>
        <w:pStyle w:val="Normal"/>
        <w:numPr>
          <w:ilvl w:val="0"/>
          <w:numId w:val="15"/>
        </w:numPr>
        <w:jc w:val="both"/>
        <w:rPr>
          <w:rFonts w:eastAsia="Bookman Old Style"/>
          <w:sz w:val="22"/>
          <w:szCs w:val="22"/>
        </w:rPr>
      </w:pPr>
      <w:r>
        <w:rPr>
          <w:rFonts w:eastAsia="Bookman Old Style"/>
          <w:sz w:val="22"/>
          <w:szCs w:val="22"/>
        </w:rPr>
        <w:t>Przed zleceniem zastępczej realizacji podmiotom trzecim zamawiający wezwie dwukrotnie wykonawcę                do usunięcia stwierdzonych wad lub usterek.</w:t>
      </w:r>
    </w:p>
    <w:p>
      <w:pPr>
        <w:pStyle w:val="Normal"/>
        <w:numPr>
          <w:ilvl w:val="0"/>
          <w:numId w:val="15"/>
        </w:numPr>
        <w:jc w:val="both"/>
        <w:rPr>
          <w:rFonts w:eastAsia="Bookman Old Style"/>
          <w:sz w:val="22"/>
          <w:szCs w:val="22"/>
        </w:rPr>
      </w:pPr>
      <w:r>
        <w:rPr>
          <w:rFonts w:eastAsia="Bookman Old Style"/>
          <w:sz w:val="22"/>
          <w:szCs w:val="22"/>
        </w:rPr>
        <w:t>W przypadku, gdy koszty realizacji zastępczej przekroczą wartość zabezpieczenia zamawiający będzie dochodził od wykonawcy kwoty uzupełniającej do wysokości rzeczywiście poniesionych kosztów.</w:t>
      </w:r>
    </w:p>
    <w:p>
      <w:pPr>
        <w:pStyle w:val="Normalny3"/>
        <w:numPr>
          <w:ilvl w:val="0"/>
          <w:numId w:val="15"/>
        </w:numPr>
        <w:jc w:val="both"/>
        <w:rPr>
          <w:rFonts w:eastAsia="Bookman Old Style"/>
          <w:sz w:val="22"/>
          <w:szCs w:val="22"/>
        </w:rPr>
      </w:pPr>
      <w:r>
        <w:rPr>
          <w:rFonts w:eastAsia="Bookman Old Style"/>
          <w:sz w:val="22"/>
          <w:szCs w:val="22"/>
        </w:rPr>
        <w:t xml:space="preserve">Jeżeli wykonawca wniesie w formie pieniężnej zabezpieczenie należytego wykonania umowy, strony postanawiają, że w przypadku, gdy wykonawca nie wykona lub wykona nienależycie swoje zobowiązania wynikające z umowy, zamawiający wykorzysta na zastępcze wykonanie tych obowiązków także odsetki wynikające z umowy rachunku bankowego, na którym zabezpieczenie było przechowywane, pomniejszone o koszty prowadzenia rachunku bankowego. </w:t>
      </w:r>
    </w:p>
    <w:p>
      <w:pPr>
        <w:pStyle w:val="Normal"/>
        <w:numPr>
          <w:ilvl w:val="0"/>
          <w:numId w:val="15"/>
        </w:numPr>
        <w:tabs>
          <w:tab w:val="clear" w:pos="709"/>
          <w:tab w:val="left" w:pos="-1620" w:leader="none"/>
        </w:tabs>
        <w:jc w:val="both"/>
        <w:rPr>
          <w:rFonts w:eastAsia="Bookman Old Style"/>
          <w:strike/>
          <w:sz w:val="22"/>
          <w:szCs w:val="22"/>
        </w:rPr>
      </w:pPr>
      <w:r>
        <w:rPr>
          <w:rFonts w:eastAsia="Bookman Old Style"/>
          <w:sz w:val="22"/>
          <w:szCs w:val="22"/>
        </w:rPr>
        <w:t>Zamawiający zwróci lub zwolni zabezpieczenie należytego wykonania umowy na zasadach przewidzianych w art. 453 ustawy pzp.</w:t>
      </w:r>
    </w:p>
    <w:p>
      <w:pPr>
        <w:pStyle w:val="Normalny1"/>
        <w:ind w:hanging="360" w:left="360"/>
        <w:jc w:val="center"/>
        <w:rPr>
          <w:rFonts w:eastAsia="Bookman Old Style"/>
          <w:bCs/>
          <w:sz w:val="16"/>
          <w:szCs w:val="16"/>
        </w:rPr>
      </w:pPr>
      <w:r>
        <w:rPr>
          <w:rFonts w:eastAsia="Bookman Old Style"/>
          <w:bCs/>
          <w:sz w:val="16"/>
          <w:szCs w:val="16"/>
        </w:rPr>
      </w:r>
    </w:p>
    <w:p>
      <w:pPr>
        <w:pStyle w:val="Normalny1"/>
        <w:ind w:hanging="360" w:left="360"/>
        <w:jc w:val="center"/>
        <w:rPr>
          <w:rFonts w:eastAsia="Bookman Old Style"/>
          <w:b/>
          <w:bCs/>
          <w:sz w:val="22"/>
          <w:szCs w:val="22"/>
        </w:rPr>
      </w:pPr>
      <w:r>
        <w:rPr>
          <w:rFonts w:eastAsia="Bookman Old Style"/>
          <w:b/>
          <w:bCs/>
          <w:sz w:val="22"/>
          <w:szCs w:val="22"/>
        </w:rPr>
      </w:r>
      <w:bookmarkStart w:id="0" w:name="_Hlk146873955"/>
      <w:bookmarkStart w:id="1" w:name="_Hlk146873955"/>
    </w:p>
    <w:p>
      <w:pPr>
        <w:pStyle w:val="Normalny3"/>
        <w:jc w:val="center"/>
        <w:rPr>
          <w:rFonts w:eastAsia="Bookman Old Style"/>
          <w:b/>
          <w:bCs/>
          <w:color w:themeColor="text1" w:val="000000"/>
          <w:sz w:val="22"/>
          <w:szCs w:val="22"/>
        </w:rPr>
      </w:pPr>
      <w:r>
        <w:rPr>
          <w:rFonts w:eastAsia="Bookman Old Style"/>
          <w:b/>
          <w:bCs/>
          <w:color w:themeColor="text1" w:val="000000"/>
          <w:sz w:val="22"/>
          <w:szCs w:val="22"/>
        </w:rPr>
        <w:t>§ 12.</w:t>
      </w:r>
    </w:p>
    <w:p>
      <w:pPr>
        <w:pStyle w:val="Normalny3"/>
        <w:ind w:hanging="426" w:left="426"/>
        <w:jc w:val="center"/>
        <w:rPr>
          <w:rFonts w:eastAsia="Bookman Old Style"/>
          <w:b/>
          <w:bCs/>
          <w:color w:themeColor="text1" w:val="000000"/>
          <w:sz w:val="22"/>
          <w:szCs w:val="22"/>
        </w:rPr>
      </w:pPr>
      <w:r>
        <w:rPr>
          <w:rFonts w:eastAsia="Bookman Old Style"/>
          <w:b/>
          <w:bCs/>
          <w:color w:themeColor="text1" w:val="000000"/>
          <w:sz w:val="22"/>
          <w:szCs w:val="22"/>
        </w:rPr>
        <w:t>Sposób doręczenia faktury przez Wykonawcę</w:t>
      </w:r>
    </w:p>
    <w:p>
      <w:pPr>
        <w:pStyle w:val="Normal"/>
        <w:suppressAutoHyphens w:val="false"/>
        <w:rPr>
          <w:sz w:val="22"/>
          <w:szCs w:val="22"/>
          <w:lang w:eastAsia="pl-PL"/>
        </w:rPr>
      </w:pPr>
      <w:r>
        <w:rPr>
          <w:sz w:val="22"/>
          <w:szCs w:val="22"/>
          <w:lang w:eastAsia="pl-PL"/>
        </w:rPr>
      </w:r>
    </w:p>
    <w:p>
      <w:pPr>
        <w:pStyle w:val="Normal"/>
        <w:suppressAutoHyphens w:val="false"/>
        <w:ind w:hanging="425" w:left="425"/>
        <w:jc w:val="both"/>
        <w:rPr>
          <w:sz w:val="22"/>
          <w:szCs w:val="22"/>
          <w:lang w:eastAsia="pl-PL"/>
        </w:rPr>
      </w:pPr>
      <w:r>
        <w:rPr>
          <w:sz w:val="22"/>
          <w:szCs w:val="22"/>
          <w:lang w:eastAsia="pl-PL"/>
        </w:rPr>
        <w:t xml:space="preserve">1.  Wykonawca zobowiązany jest do wystawiania i doręczania Zamawiającemu faktur ustrukturyzowanych przy użyciu Krajowego Systemu e-Faktur (dalej: KSeF), jeżeli zgodnie z obowiązującymi przepisami jest zobowiązany do korzystania z tego systemu. </w:t>
      </w:r>
    </w:p>
    <w:p>
      <w:pPr>
        <w:pStyle w:val="Normal"/>
        <w:suppressAutoHyphens w:val="false"/>
        <w:ind w:hanging="425" w:left="425"/>
        <w:jc w:val="both"/>
        <w:rPr>
          <w:sz w:val="22"/>
          <w:szCs w:val="22"/>
          <w:lang w:eastAsia="pl-PL"/>
        </w:rPr>
      </w:pPr>
      <w:r>
        <w:rPr>
          <w:sz w:val="22"/>
          <w:szCs w:val="22"/>
          <w:lang w:eastAsia="pl-PL"/>
        </w:rPr>
        <w:t xml:space="preserve">2.   Faktury ustrukturyzowane płatne są w terminie 30 dni od daty przesłania ich do KSeF. </w:t>
      </w:r>
    </w:p>
    <w:p>
      <w:pPr>
        <w:pStyle w:val="Normal"/>
        <w:suppressAutoHyphens w:val="false"/>
        <w:ind w:hanging="425" w:left="425"/>
        <w:jc w:val="both"/>
        <w:rPr>
          <w:sz w:val="22"/>
          <w:szCs w:val="22"/>
          <w:lang w:eastAsia="pl-PL"/>
        </w:rPr>
      </w:pPr>
      <w:r>
        <w:rPr>
          <w:sz w:val="22"/>
          <w:szCs w:val="22"/>
          <w:lang w:eastAsia="pl-PL"/>
        </w:rPr>
        <w:t>3.  W przypadku konieczności udostępnienia faktury ustrukturyzowanej w sposób uzgodniony (tryb awaryjny) – faktury przekazane poza KSeF płatne są w terminie 30 dni od daty faktycznego otrzymania wizualizacji faktury. W takich przypadkach wizualizacje faktur ustrukturyzowanych przekazywanych poza KSeF Wykonawca będzie przesyłał na adres:</w:t>
      </w:r>
      <w:bookmarkStart w:id="2" w:name="_Hlk219792511"/>
      <w:r>
        <w:rPr>
          <w:color w:val="0000FF"/>
          <w:sz w:val="22"/>
          <w:szCs w:val="22"/>
          <w:u w:val="single"/>
          <w:lang w:eastAsia="pl-PL"/>
        </w:rPr>
        <w:t>b</w:t>
      </w:r>
      <w:bookmarkEnd w:id="2"/>
      <w:r>
        <w:rPr>
          <w:color w:val="0000FF"/>
          <w:sz w:val="22"/>
          <w:szCs w:val="22"/>
          <w:u w:val="single"/>
          <w:lang w:eastAsia="pl-PL"/>
        </w:rPr>
        <w:t>iuro.jtbs@gmail.com</w:t>
      </w:r>
      <w:r>
        <w:rPr>
          <w:sz w:val="22"/>
          <w:szCs w:val="22"/>
          <w:lang w:eastAsia="pl-PL"/>
        </w:rPr>
        <w:t xml:space="preserve">  </w:t>
      </w:r>
    </w:p>
    <w:p>
      <w:pPr>
        <w:pStyle w:val="Normal"/>
        <w:suppressAutoHyphens w:val="false"/>
        <w:jc w:val="both"/>
        <w:rPr>
          <w:sz w:val="22"/>
          <w:szCs w:val="22"/>
          <w:lang w:eastAsia="pl-PL"/>
        </w:rPr>
      </w:pPr>
      <w:r>
        <w:rPr>
          <w:sz w:val="22"/>
          <w:szCs w:val="22"/>
          <w:lang w:eastAsia="pl-PL"/>
        </w:rPr>
        <w:t xml:space="preserve">       </w:t>
      </w:r>
      <w:r>
        <w:rPr>
          <w:sz w:val="22"/>
          <w:szCs w:val="22"/>
          <w:lang w:eastAsia="pl-PL"/>
        </w:rPr>
        <w:t xml:space="preserve">Datą otrzymania będzie wówczas data przesłania wiadomości e-mail. </w:t>
      </w:r>
    </w:p>
    <w:p>
      <w:pPr>
        <w:pStyle w:val="Normal"/>
        <w:suppressAutoHyphens w:val="false"/>
        <w:ind w:hanging="425" w:left="425"/>
        <w:jc w:val="both"/>
        <w:rPr>
          <w:sz w:val="22"/>
          <w:szCs w:val="22"/>
          <w:lang w:eastAsia="pl-PL"/>
        </w:rPr>
      </w:pPr>
      <w:r>
        <w:rPr>
          <w:sz w:val="22"/>
          <w:szCs w:val="22"/>
          <w:lang w:eastAsia="pl-PL"/>
        </w:rPr>
        <w:t xml:space="preserve">4.   Wykonawca może również przekazywać wizualizacje faktur w formie papierowej (np. w razie pojawienia się przejściowych problemów technicznych) i doręczać je na adres siedziby Zamawiającego. </w:t>
      </w:r>
      <w:r>
        <w:rPr>
          <w:sz w:val="22"/>
          <w:szCs w:val="22"/>
          <w:lang w:val="en-US" w:eastAsia="pl-PL"/>
        </w:rPr>
        <w:t>Powyższe znajdzie zastosowanie odpowiednio w przypadku awarii całkowitej KSeF.</w:t>
      </w:r>
    </w:p>
    <w:p>
      <w:pPr>
        <w:pStyle w:val="Normal"/>
        <w:suppressAutoHyphens w:val="false"/>
        <w:ind w:hanging="425" w:left="425"/>
        <w:jc w:val="both"/>
        <w:rPr>
          <w:sz w:val="22"/>
          <w:szCs w:val="22"/>
          <w:lang w:eastAsia="pl-PL"/>
        </w:rPr>
      </w:pPr>
      <w:r>
        <w:rPr>
          <w:sz w:val="22"/>
          <w:szCs w:val="22"/>
          <w:lang w:eastAsia="pl-PL"/>
        </w:rPr>
        <w:t xml:space="preserve">5.   Na fakturach jako </w:t>
      </w:r>
      <w:r>
        <w:rPr>
          <w:b/>
          <w:bCs/>
          <w:sz w:val="22"/>
          <w:szCs w:val="22"/>
          <w:lang w:eastAsia="pl-PL"/>
        </w:rPr>
        <w:t xml:space="preserve">Nabywca / Wykonawca </w:t>
      </w:r>
      <w:r>
        <w:rPr>
          <w:sz w:val="22"/>
          <w:szCs w:val="22"/>
          <w:lang w:eastAsia="pl-PL"/>
        </w:rPr>
        <w:t xml:space="preserve">wskazana będzie: </w:t>
      </w:r>
    </w:p>
    <w:p>
      <w:pPr>
        <w:pStyle w:val="Normal"/>
        <w:suppressAutoHyphens w:val="false"/>
        <w:ind w:hanging="425" w:left="425"/>
        <w:rPr>
          <w:b/>
          <w:bCs/>
          <w:sz w:val="22"/>
          <w:szCs w:val="22"/>
          <w:lang w:eastAsia="pl-PL"/>
        </w:rPr>
      </w:pPr>
      <w:r>
        <w:rPr>
          <w:b/>
          <w:bCs/>
          <w:sz w:val="22"/>
          <w:szCs w:val="22"/>
          <w:lang w:eastAsia="pl-PL"/>
        </w:rPr>
        <w:t xml:space="preserve">      </w:t>
      </w:r>
      <w:r>
        <w:rPr>
          <w:b/>
          <w:bCs/>
          <w:sz w:val="22"/>
          <w:szCs w:val="22"/>
          <w:lang w:eastAsia="pl-PL"/>
        </w:rPr>
        <w:t>Jarosławskie Towarzystwo Budownictwa Społecznego Sp.Z o.o.</w:t>
      </w:r>
    </w:p>
    <w:p>
      <w:pPr>
        <w:pStyle w:val="Normal"/>
        <w:suppressAutoHyphens w:val="false"/>
        <w:ind w:hanging="425" w:left="425"/>
        <w:rPr>
          <w:sz w:val="22"/>
          <w:szCs w:val="22"/>
          <w:lang w:eastAsia="pl-PL"/>
        </w:rPr>
      </w:pPr>
      <w:r>
        <w:rPr>
          <w:b/>
          <w:bCs/>
          <w:sz w:val="22"/>
          <w:szCs w:val="22"/>
          <w:lang w:eastAsia="pl-PL"/>
        </w:rPr>
        <w:t xml:space="preserve">      </w:t>
      </w:r>
      <w:r>
        <w:rPr>
          <w:b/>
          <w:bCs/>
          <w:sz w:val="22"/>
          <w:szCs w:val="22"/>
          <w:lang w:eastAsia="pl-PL"/>
        </w:rPr>
        <w:t xml:space="preserve">Adres: ul. </w:t>
      </w:r>
      <w:r>
        <w:rPr>
          <w:b/>
          <w:bCs/>
          <w:sz w:val="22"/>
          <w:szCs w:val="22"/>
          <w:lang w:eastAsia="pl-PL"/>
        </w:rPr>
        <w:t>Ksiedza Jakuba Makary 1     37</w:t>
      </w:r>
      <w:r>
        <w:rPr>
          <w:b/>
          <w:bCs/>
          <w:sz w:val="22"/>
          <w:szCs w:val="22"/>
          <w:lang w:eastAsia="pl-PL"/>
        </w:rPr>
        <w:t>-</w:t>
      </w:r>
      <w:r>
        <w:rPr>
          <w:b/>
          <w:bCs/>
          <w:sz w:val="22"/>
          <w:szCs w:val="22"/>
          <w:lang w:eastAsia="pl-PL"/>
        </w:rPr>
        <w:t>5</w:t>
      </w:r>
      <w:r>
        <w:rPr>
          <w:b/>
          <w:bCs/>
          <w:sz w:val="22"/>
          <w:szCs w:val="22"/>
          <w:lang w:eastAsia="pl-PL"/>
        </w:rPr>
        <w:t xml:space="preserve">00 </w:t>
      </w:r>
      <w:r>
        <w:rPr>
          <w:b/>
          <w:bCs/>
          <w:sz w:val="22"/>
          <w:szCs w:val="22"/>
          <w:lang w:eastAsia="pl-PL"/>
        </w:rPr>
        <w:t>Jarosław</w:t>
      </w:r>
    </w:p>
    <w:p>
      <w:pPr>
        <w:pStyle w:val="Normal"/>
        <w:suppressAutoHyphens w:val="false"/>
        <w:ind w:hanging="425" w:left="425"/>
        <w:jc w:val="both"/>
        <w:rPr>
          <w:sz w:val="22"/>
          <w:szCs w:val="22"/>
          <w:lang w:eastAsia="pl-PL"/>
        </w:rPr>
      </w:pPr>
      <w:r>
        <w:rPr>
          <w:b/>
          <w:bCs/>
          <w:sz w:val="22"/>
          <w:szCs w:val="22"/>
          <w:lang w:eastAsia="pl-PL"/>
        </w:rPr>
        <w:t xml:space="preserve">      </w:t>
      </w:r>
      <w:r>
        <w:rPr>
          <w:b/>
          <w:bCs/>
          <w:sz w:val="22"/>
          <w:szCs w:val="22"/>
          <w:lang w:eastAsia="pl-PL"/>
        </w:rPr>
        <w:t>NIP: 7</w:t>
      </w:r>
      <w:r>
        <w:rPr>
          <w:b/>
          <w:bCs/>
          <w:sz w:val="22"/>
          <w:szCs w:val="22"/>
          <w:lang w:eastAsia="pl-PL"/>
        </w:rPr>
        <w:t>921879433</w:t>
      </w:r>
    </w:p>
    <w:p>
      <w:pPr>
        <w:pStyle w:val="Normal"/>
        <w:suppressAutoHyphens w:val="false"/>
        <w:ind w:hanging="425" w:left="425"/>
        <w:jc w:val="both"/>
        <w:rPr>
          <w:sz w:val="22"/>
          <w:szCs w:val="22"/>
          <w:lang w:eastAsia="pl-PL"/>
        </w:rPr>
      </w:pPr>
      <w:r>
        <w:rPr/>
      </w:r>
    </w:p>
    <w:p>
      <w:pPr>
        <w:pStyle w:val="Normal"/>
        <w:suppressAutoHyphens w:val="false"/>
        <w:ind w:hanging="425" w:left="425"/>
        <w:jc w:val="both"/>
        <w:rPr>
          <w:sz w:val="22"/>
          <w:szCs w:val="22"/>
          <w:lang w:eastAsia="pl-PL"/>
        </w:rPr>
      </w:pPr>
      <w:r>
        <w:rPr>
          <w:sz w:val="22"/>
          <w:szCs w:val="22"/>
          <w:lang w:eastAsia="pl-PL"/>
        </w:rPr>
        <w:t>7.   Wykonawca zobowiązany jest również do umieszczenia w fakturze ustrukturyzowanej dodatkowych danych – informacji identyfikujących czego dana faktura będzie dotyczyć, w szczególności:</w:t>
      </w:r>
    </w:p>
    <w:p>
      <w:pPr>
        <w:pStyle w:val="Normal"/>
        <w:suppressAutoHyphens w:val="false"/>
        <w:ind w:left="425"/>
        <w:jc w:val="both"/>
        <w:rPr>
          <w:sz w:val="22"/>
          <w:szCs w:val="22"/>
          <w:lang w:eastAsia="pl-PL"/>
        </w:rPr>
      </w:pPr>
      <w:r>
        <w:rPr>
          <w:sz w:val="22"/>
          <w:szCs w:val="22"/>
          <w:lang w:eastAsia="pl-PL"/>
        </w:rPr>
        <w:t>a)    numeru lub symbolu umowy w formacie: „Umowa nr…………………”.</w:t>
      </w:r>
    </w:p>
    <w:p>
      <w:pPr>
        <w:pStyle w:val="Normal"/>
        <w:suppressAutoHyphens w:val="false"/>
        <w:ind w:left="425"/>
        <w:jc w:val="both"/>
        <w:rPr>
          <w:sz w:val="22"/>
          <w:szCs w:val="22"/>
          <w:lang w:eastAsia="pl-PL"/>
        </w:rPr>
      </w:pPr>
      <w:r>
        <w:rPr>
          <w:sz w:val="22"/>
          <w:szCs w:val="22"/>
          <w:lang w:eastAsia="pl-PL"/>
        </w:rPr>
        <w:t>b)   informacji o metodzie podzielonej płatności lub metodzie kasowej,</w:t>
      </w:r>
    </w:p>
    <w:p>
      <w:pPr>
        <w:pStyle w:val="Normal"/>
        <w:suppressAutoHyphens w:val="false"/>
        <w:ind w:hanging="425" w:left="425"/>
        <w:jc w:val="both"/>
        <w:rPr>
          <w:sz w:val="22"/>
          <w:szCs w:val="22"/>
          <w:lang w:eastAsia="pl-PL"/>
        </w:rPr>
      </w:pPr>
      <w:r>
        <w:rPr>
          <w:sz w:val="22"/>
          <w:szCs w:val="22"/>
          <w:lang w:eastAsia="pl-PL"/>
        </w:rPr>
        <w:t xml:space="preserve">8.   Załączniki do faktur (protokoły odbiorów, listy podwykonawców itp.)  wymagane zapisami umowy opatrzone podpisem kwalifikowanym należy przesłać na adres e-mail: , </w:t>
      </w:r>
      <w:hyperlink r:id="rId2">
        <w:r>
          <w:rPr>
            <w:rStyle w:val="Hyperlink"/>
            <w:sz w:val="22"/>
            <w:szCs w:val="22"/>
            <w:lang w:eastAsia="pl-PL"/>
          </w:rPr>
          <w:t>biuro.jtbs@gmail.com</w:t>
        </w:r>
      </w:hyperlink>
      <w:r>
        <w:rPr>
          <w:sz w:val="22"/>
          <w:szCs w:val="22"/>
          <w:lang w:eastAsia="pl-PL"/>
        </w:rPr>
        <w:t xml:space="preserve"> </w:t>
      </w:r>
    </w:p>
    <w:p>
      <w:pPr>
        <w:pStyle w:val="Normalny1"/>
        <w:ind w:hanging="360" w:left="360"/>
        <w:jc w:val="center"/>
        <w:rPr>
          <w:rFonts w:eastAsia="Bookman Old Style"/>
          <w:b/>
          <w:bCs/>
          <w:sz w:val="22"/>
          <w:szCs w:val="22"/>
        </w:rPr>
      </w:pPr>
      <w:r>
        <w:rPr>
          <w:rFonts w:eastAsia="Bookman Old Style"/>
          <w:b/>
          <w:bCs/>
          <w:sz w:val="22"/>
          <w:szCs w:val="22"/>
        </w:rPr>
      </w:r>
    </w:p>
    <w:p>
      <w:pPr>
        <w:pStyle w:val="Normalny1"/>
        <w:ind w:hanging="360" w:left="360"/>
        <w:jc w:val="center"/>
        <w:rPr>
          <w:rFonts w:eastAsia="Bookman Old Style"/>
          <w:b/>
          <w:bCs/>
          <w:sz w:val="22"/>
          <w:szCs w:val="22"/>
        </w:rPr>
      </w:pPr>
      <w:bookmarkStart w:id="3" w:name="_Hlk146873955"/>
      <w:r>
        <w:rPr>
          <w:rFonts w:eastAsia="Bookman Old Style"/>
          <w:b/>
          <w:bCs/>
          <w:sz w:val="22"/>
          <w:szCs w:val="22"/>
        </w:rPr>
        <w:t>§</w:t>
      </w:r>
      <w:bookmarkEnd w:id="3"/>
      <w:r>
        <w:rPr>
          <w:rFonts w:eastAsia="Bookman Old Style"/>
          <w:b/>
          <w:bCs/>
          <w:sz w:val="22"/>
          <w:szCs w:val="22"/>
        </w:rPr>
        <w:t xml:space="preserve"> 13.</w:t>
      </w:r>
    </w:p>
    <w:p>
      <w:pPr>
        <w:pStyle w:val="Normalny1"/>
        <w:ind w:hanging="360" w:left="360"/>
        <w:jc w:val="center"/>
        <w:rPr>
          <w:rFonts w:eastAsia="Bookman Old Style"/>
          <w:b/>
          <w:sz w:val="22"/>
          <w:szCs w:val="22"/>
        </w:rPr>
      </w:pPr>
      <w:r>
        <w:rPr>
          <w:rFonts w:eastAsia="Bookman Old Style"/>
          <w:b/>
          <w:sz w:val="22"/>
          <w:szCs w:val="22"/>
        </w:rPr>
        <w:t>Przepisy prawa</w:t>
      </w:r>
    </w:p>
    <w:p>
      <w:pPr>
        <w:pStyle w:val="Normalny1"/>
        <w:ind w:hanging="360" w:left="360"/>
        <w:jc w:val="both"/>
        <w:rPr>
          <w:rFonts w:eastAsia="Bookman Old Style"/>
          <w:b/>
          <w:sz w:val="16"/>
          <w:szCs w:val="16"/>
        </w:rPr>
      </w:pPr>
      <w:r>
        <w:rPr>
          <w:rFonts w:eastAsia="Bookman Old Style"/>
          <w:b/>
          <w:sz w:val="16"/>
          <w:szCs w:val="16"/>
        </w:rPr>
      </w:r>
    </w:p>
    <w:p>
      <w:pPr>
        <w:pStyle w:val="Tekstpodstawowywcity31"/>
        <w:ind w:left="0"/>
        <w:rPr>
          <w:rFonts w:ascii="Times New Roman" w:hAnsi="Times New Roman" w:cs="Times New Roman"/>
          <w:sz w:val="22"/>
          <w:szCs w:val="22"/>
        </w:rPr>
      </w:pPr>
      <w:r>
        <w:rPr>
          <w:rFonts w:cs="Times New Roman" w:ascii="Times New Roman" w:hAnsi="Times New Roman"/>
          <w:sz w:val="22"/>
          <w:szCs w:val="22"/>
        </w:rPr>
        <w:t>W sprawach nieuregulowanych postanowieniami niniejszej umowy mają zastosowanie postanowienia Specyfikacji Warunków Zamówienia, przepisy prawa polskiego w szczególności: Prawa zamówień publicznych, Prawa budowlanego, Kodeksu cywilnego oraz aktów wykonawczych wydanych na ich podstawie.</w:t>
      </w:r>
    </w:p>
    <w:p>
      <w:pPr>
        <w:pStyle w:val="Normalny1"/>
        <w:ind w:hanging="360" w:left="360"/>
        <w:jc w:val="center"/>
        <w:rPr>
          <w:rFonts w:eastAsia="Bookman Old Style"/>
          <w:bCs/>
          <w:sz w:val="16"/>
          <w:szCs w:val="16"/>
        </w:rPr>
      </w:pPr>
      <w:r>
        <w:rPr>
          <w:rFonts w:eastAsia="Bookman Old Style"/>
          <w:bCs/>
          <w:sz w:val="16"/>
          <w:szCs w:val="16"/>
        </w:rPr>
      </w:r>
    </w:p>
    <w:p>
      <w:pPr>
        <w:pStyle w:val="Normalny1"/>
        <w:ind w:hanging="360" w:left="360"/>
        <w:jc w:val="center"/>
        <w:rPr>
          <w:rFonts w:eastAsia="Bookman Old Style"/>
          <w:b/>
          <w:bCs/>
          <w:sz w:val="22"/>
          <w:szCs w:val="22"/>
        </w:rPr>
      </w:pPr>
      <w:r>
        <w:rPr>
          <w:rFonts w:eastAsia="Bookman Old Style"/>
          <w:b/>
          <w:bCs/>
          <w:sz w:val="22"/>
          <w:szCs w:val="22"/>
        </w:rPr>
      </w:r>
    </w:p>
    <w:p>
      <w:pPr>
        <w:pStyle w:val="Normalny1"/>
        <w:ind w:hanging="360" w:left="360"/>
        <w:jc w:val="center"/>
        <w:rPr>
          <w:rFonts w:eastAsia="Bookman Old Style"/>
          <w:b/>
          <w:bCs/>
          <w:sz w:val="22"/>
          <w:szCs w:val="22"/>
        </w:rPr>
      </w:pPr>
      <w:r>
        <w:rPr>
          <w:rFonts w:eastAsia="Bookman Old Style"/>
          <w:b/>
          <w:bCs/>
          <w:sz w:val="22"/>
          <w:szCs w:val="22"/>
        </w:rPr>
        <w:t>§ 14.</w:t>
      </w:r>
    </w:p>
    <w:p>
      <w:pPr>
        <w:pStyle w:val="Normalny1"/>
        <w:ind w:hanging="360" w:left="360"/>
        <w:jc w:val="center"/>
        <w:rPr>
          <w:rFonts w:eastAsia="Bookman Old Style"/>
          <w:b/>
          <w:bCs/>
          <w:sz w:val="22"/>
          <w:szCs w:val="22"/>
        </w:rPr>
      </w:pPr>
      <w:r>
        <w:rPr>
          <w:rFonts w:eastAsia="Bookman Old Style"/>
          <w:b/>
          <w:bCs/>
          <w:sz w:val="22"/>
          <w:szCs w:val="22"/>
        </w:rPr>
        <w:t>Postanowienia końcowe</w:t>
      </w:r>
    </w:p>
    <w:p>
      <w:pPr>
        <w:pStyle w:val="Normalny1"/>
        <w:ind w:hanging="360" w:left="360"/>
        <w:jc w:val="center"/>
        <w:rPr>
          <w:rFonts w:eastAsia="Bookman Old Style"/>
          <w:sz w:val="16"/>
          <w:szCs w:val="16"/>
        </w:rPr>
      </w:pPr>
      <w:r>
        <w:rPr>
          <w:rFonts w:eastAsia="Bookman Old Style"/>
          <w:sz w:val="16"/>
          <w:szCs w:val="16"/>
        </w:rPr>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Prawa i obowiązki wynikające z niniejszej umowy nie mogą być przenoszone przez żadną ze stron na osoby trzecie bez zgody drugiej strony.</w:t>
      </w:r>
    </w:p>
    <w:p>
      <w:pPr>
        <w:pStyle w:val="Normalny1"/>
        <w:numPr>
          <w:ilvl w:val="0"/>
          <w:numId w:val="8"/>
        </w:numPr>
        <w:tabs>
          <w:tab w:val="clear" w:pos="709"/>
          <w:tab w:val="left" w:pos="360" w:leader="none"/>
        </w:tabs>
        <w:ind w:hanging="360" w:left="360"/>
        <w:jc w:val="both"/>
        <w:rPr>
          <w:rFonts w:eastAsia="Bookman Old Style"/>
          <w:sz w:val="22"/>
          <w:szCs w:val="22"/>
        </w:rPr>
      </w:pPr>
      <w:r>
        <w:rPr>
          <w:sz w:val="22"/>
          <w:szCs w:val="22"/>
        </w:rPr>
        <w:t>W sprawie majątkowej, w której zawarcie ugody jest dopuszczalne, każda ze stron umowy, w przypadku sporu wynikającego z zamówienia, może złożyć wniosek o przeprowadzenie mediacji lub inne polubowne rozwiązanie sporu do Sądu Polubownego przy Prokuratorii Generalnej Rzeczypospolitej Polskiej, wybranego mediatora albo osoby prowadzącej inne polubowne rozwiązanie sporu.</w:t>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Spory wynikające z realizacji niniejszej umowy będą rozstrzygane przez sąd właściwy dla siedziby zamawiającego.</w:t>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Strony niniejszej umowy mają obowiązek wzajemnego informowania się o wszelkich zmianach statusu prawnego, sytuacji finansowej, o wszczęciu postępowania likwidacyjnego, układowego lub upadłościowego oraz o innych zmianach mających wpływ na treść i wykonywanie niniejszej umowy.</w:t>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Zmiana niniejszej umowy wymaga formy pisemnej pod rygorem nieważności.</w:t>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Integralną część niniejszej umowy stanowi: SWZ, dokumentacja techniczna oraz oferta wykonawcy.</w:t>
      </w:r>
    </w:p>
    <w:p>
      <w:pPr>
        <w:pStyle w:val="Normalny1"/>
        <w:numPr>
          <w:ilvl w:val="0"/>
          <w:numId w:val="8"/>
        </w:numPr>
        <w:tabs>
          <w:tab w:val="clear" w:pos="709"/>
          <w:tab w:val="left" w:pos="360" w:leader="none"/>
        </w:tabs>
        <w:ind w:hanging="360" w:left="360"/>
        <w:jc w:val="both"/>
        <w:rPr>
          <w:rFonts w:eastAsia="Bookman Old Style"/>
          <w:sz w:val="22"/>
          <w:szCs w:val="22"/>
        </w:rPr>
      </w:pPr>
      <w:r>
        <w:rPr>
          <w:rFonts w:eastAsia="Bookman Old Style"/>
          <w:sz w:val="22"/>
          <w:szCs w:val="22"/>
        </w:rPr>
        <w:t xml:space="preserve">Umowę sporządzono w </w:t>
      </w:r>
      <w:r>
        <w:rPr>
          <w:rFonts w:eastAsia="Bookman Old Style"/>
          <w:sz w:val="22"/>
          <w:szCs w:val="22"/>
        </w:rPr>
        <w:t xml:space="preserve">dwóch </w:t>
      </w:r>
      <w:r>
        <w:rPr>
          <w:rFonts w:eastAsia="Bookman Old Style"/>
          <w:sz w:val="22"/>
          <w:szCs w:val="22"/>
        </w:rPr>
        <w:t xml:space="preserve"> jednobrzmiących egzemplarzach, </w:t>
      </w:r>
      <w:r>
        <w:rPr>
          <w:rFonts w:eastAsia="Bookman Old Style"/>
          <w:sz w:val="22"/>
          <w:szCs w:val="22"/>
        </w:rPr>
        <w:t xml:space="preserve">po jednym dla każdej ze stron </w:t>
      </w:r>
      <w:r>
        <w:rPr>
          <w:rFonts w:eastAsia="Bookman Old Style"/>
          <w:sz w:val="22"/>
          <w:szCs w:val="22"/>
        </w:rPr>
        <w:t>.</w:t>
      </w:r>
    </w:p>
    <w:p>
      <w:pPr>
        <w:pStyle w:val="Normalny1"/>
        <w:numPr>
          <w:ilvl w:val="0"/>
          <w:numId w:val="0"/>
        </w:numPr>
        <w:jc w:val="both"/>
        <w:outlineLvl w:val="0"/>
        <w:rPr>
          <w:rFonts w:eastAsia="Bookman Old Style"/>
          <w:b/>
          <w:bCs/>
          <w:sz w:val="22"/>
          <w:szCs w:val="22"/>
        </w:rPr>
      </w:pPr>
      <w:r>
        <w:rPr>
          <w:rFonts w:eastAsia="Bookman Old Style"/>
          <w:b/>
          <w:bCs/>
          <w:sz w:val="22"/>
          <w:szCs w:val="22"/>
        </w:rPr>
      </w:r>
    </w:p>
    <w:p>
      <w:pPr>
        <w:pStyle w:val="Normalny1"/>
        <w:numPr>
          <w:ilvl w:val="0"/>
          <w:numId w:val="0"/>
        </w:numPr>
        <w:jc w:val="center"/>
        <w:outlineLvl w:val="0"/>
        <w:rPr>
          <w:rFonts w:eastAsia="Bookman Old Style"/>
          <w:b/>
          <w:sz w:val="22"/>
          <w:szCs w:val="22"/>
        </w:rPr>
      </w:pPr>
      <w:r>
        <w:rPr/>
      </w:r>
    </w:p>
    <w:p>
      <w:pPr>
        <w:pStyle w:val="Normalny1"/>
        <w:numPr>
          <w:ilvl w:val="0"/>
          <w:numId w:val="0"/>
        </w:numPr>
        <w:jc w:val="center"/>
        <w:outlineLvl w:val="0"/>
        <w:rPr>
          <w:rFonts w:eastAsia="Bookman Old Style"/>
          <w:b/>
          <w:sz w:val="22"/>
          <w:szCs w:val="22"/>
        </w:rPr>
      </w:pPr>
      <w:r>
        <w:rPr/>
      </w:r>
    </w:p>
    <w:p>
      <w:pPr>
        <w:pStyle w:val="Normalny1"/>
        <w:numPr>
          <w:ilvl w:val="0"/>
          <w:numId w:val="0"/>
        </w:numPr>
        <w:jc w:val="center"/>
        <w:outlineLvl w:val="0"/>
        <w:rPr>
          <w:rFonts w:eastAsia="Bookman Old Style"/>
          <w:b/>
          <w:sz w:val="22"/>
          <w:szCs w:val="22"/>
        </w:rPr>
      </w:pPr>
      <w:r>
        <w:rPr/>
      </w:r>
    </w:p>
    <w:p>
      <w:pPr>
        <w:pStyle w:val="Normalny1"/>
        <w:numPr>
          <w:ilvl w:val="0"/>
          <w:numId w:val="0"/>
        </w:numPr>
        <w:jc w:val="center"/>
        <w:outlineLvl w:val="0"/>
        <w:rPr>
          <w:rFonts w:eastAsia="Bookman Old Style"/>
          <w:b/>
          <w:sz w:val="22"/>
          <w:szCs w:val="22"/>
        </w:rPr>
      </w:pPr>
      <w:r>
        <w:rPr>
          <w:rFonts w:eastAsia="Bookman Old Style"/>
          <w:b/>
          <w:sz w:val="22"/>
          <w:szCs w:val="22"/>
        </w:rPr>
        <w:t>ZAMAWIAJĄCY:</w:t>
        <w:tab/>
        <w:tab/>
        <w:tab/>
        <w:tab/>
        <w:tab/>
        <w:tab/>
        <w:tab/>
        <w:t>WYKONAWCA:</w:t>
      </w:r>
    </w:p>
    <w:p>
      <w:pPr>
        <w:pStyle w:val="Normal"/>
        <w:rPr>
          <w:rFonts w:eastAsia="Bookman Old Style"/>
          <w:b/>
          <w:sz w:val="22"/>
          <w:szCs w:val="22"/>
        </w:rPr>
      </w:pPr>
      <w:r>
        <w:rPr>
          <w:rFonts w:eastAsia="Bookman Old Style"/>
          <w:b/>
          <w:sz w:val="22"/>
          <w:szCs w:val="22"/>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080" w:right="1106" w:gutter="0" w:header="284" w:top="851" w:footer="709" w:bottom="1276"/>
      <w:pgNumType w:start="1"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tarSymbol">
    <w:altName w:val="Arial Unicode MS"/>
    <w:charset w:val="ee"/>
    <w:family w:val="roman"/>
    <w:pitch w:val="variable"/>
  </w:font>
  <w:font w:name="Courier New">
    <w:charset w:val="ee"/>
    <w:family w:val="roman"/>
    <w:pitch w:val="variable"/>
  </w:font>
  <w:font w:name="Liberation Sans">
    <w:altName w:val="Arial"/>
    <w:charset w:val="ee"/>
    <w:family w:val="swiss"/>
    <w:pitch w:val="variable"/>
  </w:font>
  <w:font w:name="Bookman Old Style">
    <w:charset w:val="ee"/>
    <w:family w:val="roman"/>
    <w:pitch w:val="variable"/>
  </w:font>
  <w:font w:name="Arial">
    <w:charset w:val="ee"/>
    <w:family w:val="roman"/>
    <w:pitch w:val="variable"/>
  </w:font>
  <w:font w:name="Tahoma">
    <w:charset w:val="ee"/>
    <w:family w:val="roman"/>
    <w:pitch w:val="variable"/>
  </w:font>
  <w:font w:name="Cambria">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6" name="Ramka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rPr>
      <w:tab/>
    </w:r>
  </w:p>
  <w:p>
    <w:pPr>
      <w:pStyle w:val="Footer"/>
      <w:jc w:val="center"/>
      <w:rPr/>
    </w:pPr>
    <w:r>
      <w:rPr/>
      <w:fldChar w:fldCharType="begin"/>
    </w:r>
    <w:r>
      <w:rPr/>
      <w:instrText xml:space="preserve"> PAGE </w:instrText>
    </w:r>
    <w:r>
      <w:rPr/>
      <w:fldChar w:fldCharType="separate"/>
    </w:r>
    <w:r>
      <w:rPr/>
      <w:t>15</w:t>
    </w:r>
    <w:r>
      <w:rPr/>
      <w:fldChar w:fldCharType="end"/>
    </w:r>
  </w:p>
  <w:p>
    <w:pPr>
      <w:pStyle w:val="Footer"/>
      <w:ind w:firstLine="360" w:right="360"/>
      <w:jc w:val="center"/>
      <w:rPr/>
    </w:pP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rPr>
      <w:tab/>
    </w:r>
  </w:p>
  <w:p>
    <w:pPr>
      <w:pStyle w:val="Footer"/>
      <w:jc w:val="center"/>
      <w:rPr/>
    </w:pPr>
    <w:r>
      <w:rPr/>
      <w:fldChar w:fldCharType="begin"/>
    </w:r>
    <w:r>
      <w:rPr/>
      <w:instrText xml:space="preserve"> PAGE </w:instrText>
    </w:r>
    <w:r>
      <w:rPr/>
      <w:fldChar w:fldCharType="separate"/>
    </w:r>
    <w:r>
      <w:rPr/>
      <w:t>15</w:t>
    </w:r>
    <w:r>
      <w:rPr/>
      <w:fldChar w:fldCharType="end"/>
    </w:r>
  </w:p>
  <w:p>
    <w:pPr>
      <w:pStyle w:val="Footer"/>
      <w:ind w:firstLine="360" w:right="360"/>
      <w:jc w:val="center"/>
      <w:rPr/>
    </w:pP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ind w:right="360"/>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Ramka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spacing w:before="24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spacing w:before="24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ind w:right="360"/>
      <w:jc w:val="center"/>
      <w:rPr>
        <w:sz w:val="18"/>
        <w:szCs w:val="18"/>
      </w:rPr>
    </w:pPr>
    <w:r>
      <w:rPr>
        <w:sz w:val="16"/>
        <w:szCs w:val="16"/>
      </w:rPr>
    </w:r>
    <w:r>
      <mc:AlternateContent>
        <mc:Choice Requires="wps">
          <w:drawing>
            <wp:anchor behindDoc="1" distT="0" distB="0" distL="0" distR="0" simplePos="0" locked="0" layoutInCell="0" allowOverlap="1" relativeHeight="16">
              <wp:simplePos x="0" y="0"/>
              <wp:positionH relativeFrom="column">
                <wp:align>left</wp:align>
              </wp:positionH>
              <wp:positionV relativeFrom="line">
                <wp:posOffset>635</wp:posOffset>
              </wp:positionV>
              <wp:extent cx="5943600" cy="827405"/>
              <wp:effectExtent l="0" t="0" r="0" b="0"/>
              <wp:wrapNone/>
              <wp:docPr id="2" name="Ramka4"/>
              <a:graphic xmlns:a="http://schemas.openxmlformats.org/drawingml/2006/main">
                <a:graphicData uri="http://schemas.microsoft.com/office/word/2010/wordprocessingShape">
                  <wps:wsp>
                    <wps:cNvSpPr txBox="1"/>
                    <wps:spPr>
                      <a:xfrm>
                        <a:off x="0" y="0"/>
                        <a:ext cx="5943600" cy="827405"/>
                      </a:xfrm>
                      <a:prstGeom prst="rect"/>
                      <a:solidFill>
                        <a:srgbClr val="FFFFFF"/>
                      </a:solidFill>
                    </wps:spPr>
                    <wps:txbx>
                      <w:txbxContent>
                        <w:p>
                          <w:pPr>
                            <w:pStyle w:val="Header"/>
                            <w:spacing w:before="240" w:after="120"/>
                            <w:ind w:right="360"/>
                            <w:jc w:val="center"/>
                            <w:rPr>
                              <w:sz w:val="18"/>
                              <w:szCs w:val="18"/>
                            </w:rPr>
                          </w:pPr>
                          <w:r>
                            <w:rPr>
                              <w:sz w:val="18"/>
                              <w:szCs w:val="18"/>
                            </w:rPr>
                          </w:r>
                        </w:p>
                        <w:p>
                          <w:pPr>
                            <w:pStyle w:val="BodyText"/>
                            <w:rPr/>
                          </w:pPr>
                          <w:r>
                            <w:rPr/>
                          </w:r>
                        </w:p>
                        <w:p>
                          <w:pPr>
                            <w:pStyle w:val="BodyText"/>
                            <w:rPr/>
                          </w:pPr>
                          <w:r>
                            <w:rPr/>
                          </w:r>
                        </w:p>
                        <w:p>
                          <w:pPr>
                            <w:pStyle w:val="BodyText"/>
                            <w:rPr>
                              <w:sz w:val="16"/>
                              <w:szCs w:val="16"/>
                            </w:rPr>
                          </w:pPr>
                          <w:r>
                            <w:rPr>
                              <w:sz w:val="16"/>
                              <w:szCs w:val="16"/>
                            </w:rPr>
                          </w:r>
                        </w:p>
                      </w:txbxContent>
                    </wps:txbx>
                    <wps:bodyPr anchor="t" lIns="0" tIns="0" rIns="0" bIns="0">
                      <a:noAutofit/>
                    </wps:bodyPr>
                  </wps:wsp>
                </a:graphicData>
              </a:graphic>
            </wp:anchor>
          </w:drawing>
        </mc:Choice>
        <mc:Fallback>
          <w:pict>
            <v:rect style="position:absolute;rotation:-0;width:468pt;height:65.15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Header"/>
                      <w:spacing w:before="240" w:after="120"/>
                      <w:ind w:right="360"/>
                      <w:jc w:val="center"/>
                      <w:rPr>
                        <w:sz w:val="18"/>
                        <w:szCs w:val="18"/>
                      </w:rPr>
                    </w:pPr>
                    <w:r>
                      <w:rPr>
                        <w:sz w:val="18"/>
                        <w:szCs w:val="18"/>
                      </w:rPr>
                    </w:r>
                  </w:p>
                  <w:p>
                    <w:pPr>
                      <w:pStyle w:val="BodyText"/>
                      <w:rPr/>
                    </w:pPr>
                    <w:r>
                      <w:rPr/>
                    </w:r>
                  </w:p>
                  <w:p>
                    <w:pPr>
                      <w:pStyle w:val="BodyText"/>
                      <w:rPr/>
                    </w:pPr>
                    <w:r>
                      <w:rPr/>
                    </w:r>
                  </w:p>
                  <w:p>
                    <w:pPr>
                      <w:pStyle w:val="BodyText"/>
                      <w:rPr>
                        <w:sz w:val="16"/>
                        <w:szCs w:val="16"/>
                      </w:rPr>
                    </w:pPr>
                    <w:r>
                      <w:rPr>
                        <w:sz w:val="16"/>
                        <w:szCs w:val="16"/>
                      </w:rPr>
                    </w:r>
                  </w:p>
                </w:txbxContent>
              </v:textbox>
              <w10:wrap type="none"/>
            </v:rect>
          </w:pict>
        </mc:Fallback>
      </mc:AlternateContent>
    </w:r>
    <w:r>
      <mc:AlternateContent>
        <mc:Choice Requires="wps">
          <w:drawing>
            <wp:anchor behindDoc="0" distT="0" distB="0" distL="0" distR="0" simplePos="0" locked="0" layoutInCell="0" allowOverlap="1" relativeHeight="31">
              <wp:simplePos x="0" y="0"/>
              <wp:positionH relativeFrom="margin">
                <wp:align>right</wp:align>
              </wp:positionH>
              <wp:positionV relativeFrom="paragraph">
                <wp:posOffset>635</wp:posOffset>
              </wp:positionV>
              <wp:extent cx="14605" cy="298450"/>
              <wp:effectExtent l="0" t="0" r="0" b="0"/>
              <wp:wrapSquare wrapText="bothSides"/>
              <wp:docPr id="3" name="Ramka2"/>
              <a:graphic xmlns:a="http://schemas.openxmlformats.org/drawingml/2006/main">
                <a:graphicData uri="http://schemas.microsoft.com/office/word/2010/wordprocessingShape">
                  <wps:wsp>
                    <wps:cNvSpPr txBox="1"/>
                    <wps:spPr>
                      <a:xfrm>
                        <a:off x="0" y="0"/>
                        <a:ext cx="14605" cy="298450"/>
                      </a:xfrm>
                      <a:prstGeom prst="rect"/>
                      <a:solidFill>
                        <a:srgbClr val="FFFFFF">
                          <a:alpha val="0"/>
                        </a:srgbClr>
                      </a:solidFill>
                    </wps:spPr>
                    <wps:txbx>
                      <w:txbxContent>
                        <w:p>
                          <w:pPr>
                            <w:pStyle w:val="Header"/>
                            <w:pBdr/>
                            <w:spacing w:before="240" w:after="120"/>
                            <w:rPr>
                              <w:rStyle w:val="Pagenumber"/>
                              <w:sz w:val="20"/>
                              <w:szCs w:val="20"/>
                            </w:rPr>
                          </w:pPr>
                          <w:r>
                            <w:rPr>
                              <w:sz w:val="20"/>
                              <w:szCs w:val="20"/>
                            </w:rPr>
                          </w:r>
                        </w:p>
                      </w:txbxContent>
                    </wps:txbx>
                    <wps:bodyPr anchor="t" lIns="0" tIns="0" rIns="0" bIns="0">
                      <a:spAutoFit/>
                    </wps:bodyPr>
                  </wps:wsp>
                </a:graphicData>
              </a:graphic>
            </wp:anchor>
          </w:drawing>
        </mc:Choice>
        <mc:Fallback>
          <w:pict>
            <v:rect fillcolor="#FFFFFF" style="position:absolute;rotation:-0;width:1.15pt;height:23.5pt;mso-wrap-distance-left:0pt;mso-wrap-distance-right:0pt;mso-wrap-distance-top:0pt;mso-wrap-distance-bottom:0pt;margin-top:0.05pt;mso-position-vertical-relative:text;margin-left:484.85pt;mso-position-horizontal:right;mso-position-horizontal-relative:margin">
              <v:fill opacity="0f"/>
              <v:textbox inset="0in,0in,0in,0in">
                <w:txbxContent>
                  <w:p>
                    <w:pPr>
                      <w:pStyle w:val="Header"/>
                      <w:pBdr/>
                      <w:spacing w:before="240" w:after="120"/>
                      <w:rPr>
                        <w:rStyle w:val="Pagenumber"/>
                        <w:sz w:val="20"/>
                        <w:szCs w:val="20"/>
                      </w:rPr>
                    </w:pPr>
                    <w:r>
                      <w:rPr>
                        <w:sz w:val="20"/>
                        <w:szCs w:val="20"/>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ind w:right="360"/>
      <w:jc w:val="center"/>
      <w:rPr>
        <w:sz w:val="18"/>
        <w:szCs w:val="18"/>
      </w:rPr>
    </w:pPr>
    <w:r>
      <w:rPr>
        <w:sz w:val="16"/>
        <w:szCs w:val="16"/>
      </w:rPr>
    </w:r>
    <w:r>
      <mc:AlternateContent>
        <mc:Choice Requires="wps">
          <w:drawing>
            <wp:anchor behindDoc="1" distT="0" distB="0" distL="0" distR="0" simplePos="0" locked="0" layoutInCell="0" allowOverlap="1" relativeHeight="16">
              <wp:simplePos x="0" y="0"/>
              <wp:positionH relativeFrom="column">
                <wp:align>left</wp:align>
              </wp:positionH>
              <wp:positionV relativeFrom="line">
                <wp:posOffset>635</wp:posOffset>
              </wp:positionV>
              <wp:extent cx="5943600" cy="827405"/>
              <wp:effectExtent l="0" t="0" r="0" b="0"/>
              <wp:wrapNone/>
              <wp:docPr id="4" name="Ramka4"/>
              <a:graphic xmlns:a="http://schemas.openxmlformats.org/drawingml/2006/main">
                <a:graphicData uri="http://schemas.microsoft.com/office/word/2010/wordprocessingShape">
                  <wps:wsp>
                    <wps:cNvSpPr txBox="1"/>
                    <wps:spPr>
                      <a:xfrm>
                        <a:off x="0" y="0"/>
                        <a:ext cx="5943600" cy="827405"/>
                      </a:xfrm>
                      <a:prstGeom prst="rect"/>
                      <a:solidFill>
                        <a:srgbClr val="FFFFFF"/>
                      </a:solidFill>
                    </wps:spPr>
                    <wps:txbx>
                      <w:txbxContent>
                        <w:p>
                          <w:pPr>
                            <w:pStyle w:val="Header"/>
                            <w:spacing w:before="240" w:after="120"/>
                            <w:ind w:right="360"/>
                            <w:jc w:val="center"/>
                            <w:rPr>
                              <w:sz w:val="18"/>
                              <w:szCs w:val="18"/>
                            </w:rPr>
                          </w:pPr>
                          <w:r>
                            <w:rPr>
                              <w:sz w:val="18"/>
                              <w:szCs w:val="18"/>
                            </w:rPr>
                          </w:r>
                        </w:p>
                        <w:p>
                          <w:pPr>
                            <w:pStyle w:val="BodyText"/>
                            <w:rPr/>
                          </w:pPr>
                          <w:r>
                            <w:rPr/>
                          </w:r>
                        </w:p>
                        <w:p>
                          <w:pPr>
                            <w:pStyle w:val="BodyText"/>
                            <w:rPr/>
                          </w:pPr>
                          <w:r>
                            <w:rPr/>
                          </w:r>
                        </w:p>
                        <w:p>
                          <w:pPr>
                            <w:pStyle w:val="BodyText"/>
                            <w:rPr>
                              <w:sz w:val="16"/>
                              <w:szCs w:val="16"/>
                            </w:rPr>
                          </w:pPr>
                          <w:r>
                            <w:rPr>
                              <w:sz w:val="16"/>
                              <w:szCs w:val="16"/>
                            </w:rPr>
                          </w:r>
                        </w:p>
                      </w:txbxContent>
                    </wps:txbx>
                    <wps:bodyPr anchor="t" lIns="0" tIns="0" rIns="0" bIns="0">
                      <a:noAutofit/>
                    </wps:bodyPr>
                  </wps:wsp>
                </a:graphicData>
              </a:graphic>
            </wp:anchor>
          </w:drawing>
        </mc:Choice>
        <mc:Fallback>
          <w:pict>
            <v:rect style="position:absolute;rotation:-0;width:468pt;height:65.15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Header"/>
                      <w:spacing w:before="240" w:after="120"/>
                      <w:ind w:right="360"/>
                      <w:jc w:val="center"/>
                      <w:rPr>
                        <w:sz w:val="18"/>
                        <w:szCs w:val="18"/>
                      </w:rPr>
                    </w:pPr>
                    <w:r>
                      <w:rPr>
                        <w:sz w:val="18"/>
                        <w:szCs w:val="18"/>
                      </w:rPr>
                    </w:r>
                  </w:p>
                  <w:p>
                    <w:pPr>
                      <w:pStyle w:val="BodyText"/>
                      <w:rPr/>
                    </w:pPr>
                    <w:r>
                      <w:rPr/>
                    </w:r>
                  </w:p>
                  <w:p>
                    <w:pPr>
                      <w:pStyle w:val="BodyText"/>
                      <w:rPr/>
                    </w:pPr>
                    <w:r>
                      <w:rPr/>
                    </w:r>
                  </w:p>
                  <w:p>
                    <w:pPr>
                      <w:pStyle w:val="BodyText"/>
                      <w:rPr>
                        <w:sz w:val="16"/>
                        <w:szCs w:val="16"/>
                      </w:rPr>
                    </w:pPr>
                    <w:r>
                      <w:rPr>
                        <w:sz w:val="16"/>
                        <w:szCs w:val="16"/>
                      </w:rPr>
                    </w:r>
                  </w:p>
                </w:txbxContent>
              </v:textbox>
              <w10:wrap type="none"/>
            </v:rect>
          </w:pict>
        </mc:Fallback>
      </mc:AlternateContent>
    </w:r>
    <w:r>
      <mc:AlternateContent>
        <mc:Choice Requires="wps">
          <w:drawing>
            <wp:anchor behindDoc="0" distT="0" distB="0" distL="0" distR="0" simplePos="0" locked="0" layoutInCell="0" allowOverlap="1" relativeHeight="31">
              <wp:simplePos x="0" y="0"/>
              <wp:positionH relativeFrom="margin">
                <wp:align>right</wp:align>
              </wp:positionH>
              <wp:positionV relativeFrom="paragraph">
                <wp:posOffset>635</wp:posOffset>
              </wp:positionV>
              <wp:extent cx="14605" cy="298450"/>
              <wp:effectExtent l="0" t="0" r="0" b="0"/>
              <wp:wrapSquare wrapText="bothSides"/>
              <wp:docPr id="5" name="Ramka2"/>
              <a:graphic xmlns:a="http://schemas.openxmlformats.org/drawingml/2006/main">
                <a:graphicData uri="http://schemas.microsoft.com/office/word/2010/wordprocessingShape">
                  <wps:wsp>
                    <wps:cNvSpPr txBox="1"/>
                    <wps:spPr>
                      <a:xfrm>
                        <a:off x="0" y="0"/>
                        <a:ext cx="14605" cy="298450"/>
                      </a:xfrm>
                      <a:prstGeom prst="rect"/>
                      <a:solidFill>
                        <a:srgbClr val="FFFFFF">
                          <a:alpha val="0"/>
                        </a:srgbClr>
                      </a:solidFill>
                    </wps:spPr>
                    <wps:txbx>
                      <w:txbxContent>
                        <w:p>
                          <w:pPr>
                            <w:pStyle w:val="Header"/>
                            <w:pBdr/>
                            <w:spacing w:before="240" w:after="120"/>
                            <w:rPr>
                              <w:rStyle w:val="Pagenumber"/>
                              <w:sz w:val="20"/>
                              <w:szCs w:val="20"/>
                            </w:rPr>
                          </w:pPr>
                          <w:r>
                            <w:rPr>
                              <w:sz w:val="20"/>
                              <w:szCs w:val="20"/>
                            </w:rPr>
                          </w:r>
                        </w:p>
                      </w:txbxContent>
                    </wps:txbx>
                    <wps:bodyPr anchor="t" lIns="0" tIns="0" rIns="0" bIns="0">
                      <a:spAutoFit/>
                    </wps:bodyPr>
                  </wps:wsp>
                </a:graphicData>
              </a:graphic>
            </wp:anchor>
          </w:drawing>
        </mc:Choice>
        <mc:Fallback>
          <w:pict>
            <v:rect fillcolor="#FFFFFF" style="position:absolute;rotation:-0;width:1.15pt;height:23.5pt;mso-wrap-distance-left:0pt;mso-wrap-distance-right:0pt;mso-wrap-distance-top:0pt;mso-wrap-distance-bottom:0pt;margin-top:0.05pt;mso-position-vertical-relative:text;margin-left:484.85pt;mso-position-horizontal:right;mso-position-horizontal-relative:margin">
              <v:fill opacity="0f"/>
              <v:textbox inset="0in,0in,0in,0in">
                <w:txbxContent>
                  <w:p>
                    <w:pPr>
                      <w:pStyle w:val="Header"/>
                      <w:pBdr/>
                      <w:spacing w:before="240" w:after="120"/>
                      <w:rPr>
                        <w:rStyle w:val="Pagenumber"/>
                        <w:sz w:val="20"/>
                        <w:szCs w:val="20"/>
                      </w:rPr>
                    </w:pPr>
                    <w:r>
                      <w:rPr>
                        <w:sz w:val="20"/>
                        <w:szCs w:val="20"/>
                      </w:rPr>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dstrike w:val="false"/>
        <w:strike w:val="false"/>
        <w:rFonts w:ascii="Times New Roman" w:hAnsi="Times New Roman" w:cs="Times New Roman"/>
        <w:color w:val="auto"/>
      </w:rPr>
    </w:lvl>
    <w:lvl w:ilvl="1">
      <w:start w:val="1"/>
      <w:numFmt w:val="decimal"/>
      <w:lvlText w:val="%2)"/>
      <w:lvlJc w:val="left"/>
      <w:pPr>
        <w:tabs>
          <w:tab w:val="num" w:pos="1080"/>
        </w:tabs>
        <w:ind w:left="1080" w:hanging="360"/>
      </w:pPr>
      <w:rPr>
        <w:dstrike w:val="false"/>
        <w:strike w:val="false"/>
        <w:sz w:val="22"/>
        <w:szCs w:val="22"/>
        <w:rFonts w:ascii="Times New Roman" w:hAnsi="Times New Roman" w:eastAsia="Lucida Sans Unicode" w:cs="Times New Roman"/>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abstractNum w:abstractNumId="2">
    <w:lvl w:ilvl="0">
      <w:start w:val="2"/>
      <w:numFmt w:val="decimal"/>
      <w:lvlText w:val="%1)"/>
      <w:lvlJc w:val="left"/>
      <w:pPr>
        <w:tabs>
          <w:tab w:val="num" w:pos="1080"/>
        </w:tabs>
        <w:ind w:left="1080" w:hanging="360"/>
      </w:pPr>
      <w:rPr/>
    </w:lvl>
    <w:lvl w:ilvl="1">
      <w:start w:val="1"/>
      <w:numFmt w:val="lowerLetter"/>
      <w:lvlText w:val="%2."/>
      <w:lvlJc w:val="left"/>
      <w:pPr>
        <w:tabs>
          <w:tab w:val="num" w:pos="1800"/>
        </w:tabs>
        <w:ind w:left="1800" w:hanging="360"/>
      </w:pPr>
      <w:rPr/>
    </w:lvl>
    <w:lvl w:ilvl="2">
      <w:start w:val="1"/>
      <w:numFmt w:val="lowerRoman"/>
      <w:lvlText w:val="%3."/>
      <w:lvlJc w:val="right"/>
      <w:pPr>
        <w:tabs>
          <w:tab w:val="num" w:pos="2520"/>
        </w:tabs>
        <w:ind w:left="2520" w:hanging="180"/>
      </w:pPr>
      <w:rPr/>
    </w:lvl>
    <w:lvl w:ilvl="3">
      <w:start w:val="1"/>
      <w:numFmt w:val="decimal"/>
      <w:lvlText w:val="%4."/>
      <w:lvlJc w:val="left"/>
      <w:pPr>
        <w:tabs>
          <w:tab w:val="num" w:pos="3240"/>
        </w:tabs>
        <w:ind w:left="3240" w:hanging="360"/>
      </w:pPr>
      <w:rPr/>
    </w:lvl>
    <w:lvl w:ilvl="4">
      <w:start w:val="1"/>
      <w:numFmt w:val="lowerLetter"/>
      <w:lvlText w:val="%5."/>
      <w:lvlJc w:val="left"/>
      <w:pPr>
        <w:tabs>
          <w:tab w:val="num" w:pos="3960"/>
        </w:tabs>
        <w:ind w:left="3960" w:hanging="360"/>
      </w:pPr>
      <w:rPr/>
    </w:lvl>
    <w:lvl w:ilvl="5">
      <w:start w:val="1"/>
      <w:numFmt w:val="lowerRoman"/>
      <w:lvlText w:val="%6."/>
      <w:lvlJc w:val="right"/>
      <w:pPr>
        <w:tabs>
          <w:tab w:val="num" w:pos="4680"/>
        </w:tabs>
        <w:ind w:left="4680" w:hanging="180"/>
      </w:pPr>
      <w:rPr/>
    </w:lvl>
    <w:lvl w:ilvl="6">
      <w:start w:val="1"/>
      <w:numFmt w:val="decimal"/>
      <w:lvlText w:val="%7."/>
      <w:lvlJc w:val="left"/>
      <w:pPr>
        <w:tabs>
          <w:tab w:val="num" w:pos="5400"/>
        </w:tabs>
        <w:ind w:left="5400" w:hanging="360"/>
      </w:pPr>
      <w:rPr/>
    </w:lvl>
    <w:lvl w:ilvl="7">
      <w:start w:val="1"/>
      <w:numFmt w:val="lowerLetter"/>
      <w:lvlText w:val="%8."/>
      <w:lvlJc w:val="left"/>
      <w:pPr>
        <w:tabs>
          <w:tab w:val="num" w:pos="6120"/>
        </w:tabs>
        <w:ind w:left="6120" w:hanging="360"/>
      </w:pPr>
      <w:rPr/>
    </w:lvl>
    <w:lvl w:ilvl="8">
      <w:start w:val="1"/>
      <w:numFmt w:val="lowerRoman"/>
      <w:lvlText w:val="%9."/>
      <w:lvlJc w:val="right"/>
      <w:pPr>
        <w:tabs>
          <w:tab w:val="num" w:pos="6840"/>
        </w:tabs>
        <w:ind w:left="6840" w:hanging="180"/>
      </w:pPr>
      <w:rPr/>
    </w:lvl>
  </w:abstractNum>
  <w:abstractNum w:abstractNumId="3">
    <w:lvl w:ilvl="0">
      <w:start w:val="1"/>
      <w:numFmt w:val="decimal"/>
      <w:lvlText w:val="%1."/>
      <w:lvlJc w:val="left"/>
      <w:pPr>
        <w:tabs>
          <w:tab w:val="num" w:pos="1778"/>
        </w:tabs>
        <w:ind w:left="1778" w:hanging="360"/>
      </w:pPr>
      <w:rPr>
        <w:b w:val="false"/>
        <w:rFonts w:eastAsia="Bookman Old Style" w:cs="Bookman Old Style"/>
        <w:color w:val="auto"/>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decimal"/>
      <w:lvlText w:val="%8)"/>
      <w:lvlJc w:val="left"/>
      <w:pPr>
        <w:tabs>
          <w:tab w:val="num" w:pos="6120"/>
        </w:tabs>
        <w:ind w:left="6120" w:hanging="72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720"/>
        </w:tabs>
        <w:ind w:left="720" w:hanging="360"/>
      </w:pPr>
      <w:rPr>
        <w:dstrike w:val="false"/>
        <w:strike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5">
    <w:lvl w:ilvl="0">
      <w:start w:val="1"/>
      <w:numFmt w:val="decimal"/>
      <w:lvlText w:val="%1."/>
      <w:lvlJc w:val="left"/>
      <w:pPr>
        <w:tabs>
          <w:tab w:val="num" w:pos="720"/>
        </w:tabs>
        <w:ind w:left="720" w:hanging="360"/>
      </w:pPr>
      <w:rPr>
        <w:dstrike w:val="false"/>
        <w:strike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decimal"/>
      <w:lvlText w:val="%1)"/>
      <w:lvlJc w:val="left"/>
      <w:pPr>
        <w:tabs>
          <w:tab w:val="num" w:pos="2498"/>
        </w:tabs>
        <w:ind w:left="2498" w:hanging="360"/>
      </w:pPr>
      <w:rPr>
        <w:sz w:val="22"/>
        <w:szCs w:val="22"/>
      </w:rPr>
    </w:lvl>
    <w:lvl w:ilvl="1">
      <w:start w:val="1"/>
      <w:numFmt w:val="decimal"/>
      <w:lvlText w:val="%2."/>
      <w:lvlJc w:val="left"/>
      <w:pPr>
        <w:tabs>
          <w:tab w:val="num" w:pos="502"/>
        </w:tabs>
        <w:ind w:left="502" w:hanging="360"/>
      </w:pPr>
      <w:rPr>
        <w:dstrike w:val="false"/>
        <w:strike w:val="false"/>
        <w:b w:val="false"/>
      </w:rPr>
    </w:lvl>
    <w:lvl w:ilvl="2">
      <w:start w:val="1"/>
      <w:numFmt w:val="lowerRoman"/>
      <w:lvlText w:val="%3."/>
      <w:lvlJc w:val="right"/>
      <w:pPr>
        <w:tabs>
          <w:tab w:val="num" w:pos="3218"/>
        </w:tabs>
        <w:ind w:left="3218" w:hanging="180"/>
      </w:pPr>
      <w:rPr/>
    </w:lvl>
    <w:lvl w:ilvl="3">
      <w:start w:val="1"/>
      <w:numFmt w:val="decimal"/>
      <w:lvlText w:val="%4."/>
      <w:lvlJc w:val="left"/>
      <w:pPr>
        <w:tabs>
          <w:tab w:val="num" w:pos="3938"/>
        </w:tabs>
        <w:ind w:left="3938" w:hanging="360"/>
      </w:pPr>
      <w:rPr/>
    </w:lvl>
    <w:lvl w:ilvl="4">
      <w:start w:val="1"/>
      <w:numFmt w:val="lowerLetter"/>
      <w:lvlText w:val="%5."/>
      <w:lvlJc w:val="left"/>
      <w:pPr>
        <w:tabs>
          <w:tab w:val="num" w:pos="4658"/>
        </w:tabs>
        <w:ind w:left="4658" w:hanging="360"/>
      </w:pPr>
      <w:rPr/>
    </w:lvl>
    <w:lvl w:ilvl="5">
      <w:start w:val="1"/>
      <w:numFmt w:val="lowerRoman"/>
      <w:lvlText w:val="%6."/>
      <w:lvlJc w:val="right"/>
      <w:pPr>
        <w:tabs>
          <w:tab w:val="num" w:pos="5378"/>
        </w:tabs>
        <w:ind w:left="5378" w:hanging="180"/>
      </w:pPr>
      <w:rPr/>
    </w:lvl>
    <w:lvl w:ilvl="6">
      <w:start w:val="1"/>
      <w:numFmt w:val="decimal"/>
      <w:lvlText w:val="%7."/>
      <w:lvlJc w:val="left"/>
      <w:pPr>
        <w:tabs>
          <w:tab w:val="num" w:pos="6098"/>
        </w:tabs>
        <w:ind w:left="6098" w:hanging="360"/>
      </w:pPr>
      <w:rPr/>
    </w:lvl>
    <w:lvl w:ilvl="7">
      <w:start w:val="1"/>
      <w:numFmt w:val="lowerLetter"/>
      <w:lvlText w:val="%8."/>
      <w:lvlJc w:val="left"/>
      <w:pPr>
        <w:tabs>
          <w:tab w:val="num" w:pos="6818"/>
        </w:tabs>
        <w:ind w:left="6818" w:hanging="360"/>
      </w:pPr>
      <w:rPr/>
    </w:lvl>
    <w:lvl w:ilvl="8">
      <w:start w:val="1"/>
      <w:numFmt w:val="lowerRoman"/>
      <w:lvlText w:val="%9."/>
      <w:lvlJc w:val="right"/>
      <w:pPr>
        <w:tabs>
          <w:tab w:val="num" w:pos="7538"/>
        </w:tabs>
        <w:ind w:left="7538" w:hanging="180"/>
      </w:pPr>
      <w:rPr/>
    </w:lvl>
  </w:abstractNum>
  <w:abstractNum w:abstractNumId="7">
    <w:lvl w:ilvl="0">
      <w:start w:val="1"/>
      <w:numFmt w:val="decimal"/>
      <w:lvlText w:val="%1)"/>
      <w:lvlJc w:val="left"/>
      <w:pPr>
        <w:tabs>
          <w:tab w:val="num" w:pos="463"/>
        </w:tabs>
        <w:ind w:left="786" w:hanging="360"/>
      </w:pPr>
      <w:rPr>
        <w:dstrike w:val="false"/>
        <w:strike w:val="false"/>
        <w:rFonts w:ascii="Times New Roman" w:hAnsi="Times New Roman" w:eastAsia="Times New Roman" w:cs="Times New Roman"/>
      </w:rPr>
    </w:lvl>
    <w:lvl w:ilvl="1">
      <w:start w:val="2"/>
      <w:numFmt w:val="decimal"/>
      <w:lvlText w:val="%2."/>
      <w:lvlJc w:val="left"/>
      <w:pPr>
        <w:tabs>
          <w:tab w:val="num" w:pos="2859"/>
        </w:tabs>
        <w:ind w:left="2859" w:hanging="360"/>
      </w:pPr>
      <w:rPr>
        <w:color w:val="auto"/>
      </w:rPr>
    </w:lvl>
    <w:lvl w:ilvl="2">
      <w:start w:val="1"/>
      <w:numFmt w:val="lowerRoman"/>
      <w:lvlText w:val="%3."/>
      <w:lvlJc w:val="right"/>
      <w:pPr>
        <w:tabs>
          <w:tab w:val="num" w:pos="3579"/>
        </w:tabs>
        <w:ind w:left="3579" w:hanging="180"/>
      </w:pPr>
      <w:rPr/>
    </w:lvl>
    <w:lvl w:ilvl="3">
      <w:start w:val="1"/>
      <w:numFmt w:val="decimal"/>
      <w:lvlText w:val="%4."/>
      <w:lvlJc w:val="left"/>
      <w:pPr>
        <w:tabs>
          <w:tab w:val="num" w:pos="4299"/>
        </w:tabs>
        <w:ind w:left="4299" w:hanging="360"/>
      </w:pPr>
      <w:rPr/>
    </w:lvl>
    <w:lvl w:ilvl="4">
      <w:start w:val="1"/>
      <w:numFmt w:val="lowerLetter"/>
      <w:lvlText w:val="%5."/>
      <w:lvlJc w:val="left"/>
      <w:pPr>
        <w:tabs>
          <w:tab w:val="num" w:pos="5019"/>
        </w:tabs>
        <w:ind w:left="5019" w:hanging="360"/>
      </w:pPr>
      <w:rPr/>
    </w:lvl>
    <w:lvl w:ilvl="5">
      <w:start w:val="1"/>
      <w:numFmt w:val="lowerRoman"/>
      <w:lvlText w:val="%6."/>
      <w:lvlJc w:val="right"/>
      <w:pPr>
        <w:tabs>
          <w:tab w:val="num" w:pos="5739"/>
        </w:tabs>
        <w:ind w:left="5739" w:hanging="180"/>
      </w:pPr>
      <w:rPr/>
    </w:lvl>
    <w:lvl w:ilvl="6">
      <w:start w:val="1"/>
      <w:numFmt w:val="decimal"/>
      <w:lvlText w:val="%7."/>
      <w:lvlJc w:val="left"/>
      <w:pPr>
        <w:tabs>
          <w:tab w:val="num" w:pos="6459"/>
        </w:tabs>
        <w:ind w:left="6459" w:hanging="360"/>
      </w:pPr>
      <w:rPr/>
    </w:lvl>
    <w:lvl w:ilvl="7">
      <w:start w:val="1"/>
      <w:numFmt w:val="lowerLetter"/>
      <w:lvlText w:val="%8."/>
      <w:lvlJc w:val="left"/>
      <w:pPr>
        <w:tabs>
          <w:tab w:val="num" w:pos="7179"/>
        </w:tabs>
        <w:ind w:left="7179" w:hanging="360"/>
      </w:pPr>
      <w:rPr/>
    </w:lvl>
    <w:lvl w:ilvl="8">
      <w:start w:val="1"/>
      <w:numFmt w:val="lowerRoman"/>
      <w:lvlText w:val="%9."/>
      <w:lvlJc w:val="right"/>
      <w:pPr>
        <w:tabs>
          <w:tab w:val="num" w:pos="7899"/>
        </w:tabs>
        <w:ind w:left="7899" w:hanging="180"/>
      </w:pPr>
      <w:rPr/>
    </w:lvl>
  </w:abstractNum>
  <w:abstractNum w:abstractNumId="8">
    <w:lvl w:ilvl="0">
      <w:start w:val="1"/>
      <w:numFmt w:val="decimal"/>
      <w:lvlText w:val="%1."/>
      <w:lvlJc w:val="left"/>
      <w:pPr>
        <w:tabs>
          <w:tab w:val="num" w:pos="720"/>
        </w:tabs>
        <w:ind w:left="720" w:hanging="360"/>
      </w:pPr>
      <w:rPr>
        <w:i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86" w:hanging="360"/>
      </w:pPr>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11">
    <w:lvl w:ilvl="0">
      <w:start w:val="1"/>
      <w:numFmt w:val="decimal"/>
      <w:lvlText w:val="%1."/>
      <w:lvlJc w:val="left"/>
      <w:pPr>
        <w:tabs>
          <w:tab w:val="num" w:pos="0"/>
        </w:tabs>
        <w:ind w:left="2204" w:hanging="360"/>
      </w:pPr>
      <w:rPr>
        <w:dstrike w:val="false"/>
        <w:strike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3600" w:hanging="360"/>
      </w:pPr>
      <w:rPr/>
    </w:lvl>
    <w:lvl w:ilvl="1">
      <w:start w:val="1"/>
      <w:numFmt w:val="lowerLetter"/>
      <w:lvlText w:val="%2."/>
      <w:lvlJc w:val="left"/>
      <w:pPr>
        <w:tabs>
          <w:tab w:val="num" w:pos="0"/>
        </w:tabs>
        <w:ind w:left="4320" w:hanging="360"/>
      </w:pPr>
      <w:rPr/>
    </w:lvl>
    <w:lvl w:ilvl="2">
      <w:start w:val="1"/>
      <w:numFmt w:val="lowerRoman"/>
      <w:lvlText w:val="%3."/>
      <w:lvlJc w:val="right"/>
      <w:pPr>
        <w:tabs>
          <w:tab w:val="num" w:pos="0"/>
        </w:tabs>
        <w:ind w:left="5040" w:hanging="180"/>
      </w:pPr>
      <w:rPr/>
    </w:lvl>
    <w:lvl w:ilvl="3">
      <w:start w:val="1"/>
      <w:numFmt w:val="decimal"/>
      <w:lvlText w:val="%4."/>
      <w:lvlJc w:val="left"/>
      <w:pPr>
        <w:tabs>
          <w:tab w:val="num" w:pos="0"/>
        </w:tabs>
        <w:ind w:left="5760" w:hanging="360"/>
      </w:pPr>
      <w:rPr/>
    </w:lvl>
    <w:lvl w:ilvl="4">
      <w:start w:val="1"/>
      <w:numFmt w:val="lowerLetter"/>
      <w:lvlText w:val="%5."/>
      <w:lvlJc w:val="left"/>
      <w:pPr>
        <w:tabs>
          <w:tab w:val="num" w:pos="0"/>
        </w:tabs>
        <w:ind w:left="6480" w:hanging="360"/>
      </w:pPr>
      <w:rPr/>
    </w:lvl>
    <w:lvl w:ilvl="5">
      <w:start w:val="1"/>
      <w:numFmt w:val="lowerRoman"/>
      <w:lvlText w:val="%6."/>
      <w:lvlJc w:val="right"/>
      <w:pPr>
        <w:tabs>
          <w:tab w:val="num" w:pos="0"/>
        </w:tabs>
        <w:ind w:left="7200" w:hanging="180"/>
      </w:pPr>
      <w:rPr/>
    </w:lvl>
    <w:lvl w:ilvl="6">
      <w:start w:val="1"/>
      <w:numFmt w:val="decimal"/>
      <w:lvlText w:val="%7."/>
      <w:lvlJc w:val="left"/>
      <w:pPr>
        <w:tabs>
          <w:tab w:val="num" w:pos="0"/>
        </w:tabs>
        <w:ind w:left="7920" w:hanging="360"/>
      </w:pPr>
      <w:rPr/>
    </w:lvl>
    <w:lvl w:ilvl="7">
      <w:start w:val="1"/>
      <w:numFmt w:val="lowerLetter"/>
      <w:lvlText w:val="%8."/>
      <w:lvlJc w:val="left"/>
      <w:pPr>
        <w:tabs>
          <w:tab w:val="num" w:pos="0"/>
        </w:tabs>
        <w:ind w:left="8640" w:hanging="360"/>
      </w:pPr>
      <w:rPr/>
    </w:lvl>
    <w:lvl w:ilvl="8">
      <w:start w:val="1"/>
      <w:numFmt w:val="lowerRoman"/>
      <w:lvlText w:val="%9."/>
      <w:lvlJc w:val="right"/>
      <w:pPr>
        <w:tabs>
          <w:tab w:val="num" w:pos="0"/>
        </w:tabs>
        <w:ind w:left="9360" w:hanging="180"/>
      </w:pPr>
      <w:rPr/>
    </w:lvl>
  </w:abstractNum>
  <w:abstractNum w:abstractNumId="13">
    <w:lvl w:ilvl="0">
      <w:start w:val="1"/>
      <w:numFmt w:val="decimal"/>
      <w:lvlText w:val="%1)"/>
      <w:lvlJc w:val="left"/>
      <w:pPr>
        <w:tabs>
          <w:tab w:val="num" w:pos="0"/>
        </w:tabs>
        <w:ind w:left="13799" w:hanging="360"/>
      </w:pPr>
      <w:rPr>
        <w:b w:val="false"/>
      </w:rPr>
    </w:lvl>
    <w:lvl w:ilvl="1">
      <w:start w:val="1"/>
      <w:numFmt w:val="lowerLetter"/>
      <w:lvlText w:val="%2."/>
      <w:lvlJc w:val="left"/>
      <w:pPr>
        <w:tabs>
          <w:tab w:val="num" w:pos="0"/>
        </w:tabs>
        <w:ind w:left="14519" w:hanging="360"/>
      </w:pPr>
      <w:rPr/>
    </w:lvl>
    <w:lvl w:ilvl="2">
      <w:start w:val="1"/>
      <w:numFmt w:val="lowerRoman"/>
      <w:lvlText w:val="%3."/>
      <w:lvlJc w:val="right"/>
      <w:pPr>
        <w:tabs>
          <w:tab w:val="num" w:pos="0"/>
        </w:tabs>
        <w:ind w:left="15239" w:hanging="180"/>
      </w:pPr>
      <w:rPr/>
    </w:lvl>
    <w:lvl w:ilvl="3">
      <w:start w:val="1"/>
      <w:numFmt w:val="decimal"/>
      <w:lvlText w:val="%4."/>
      <w:lvlJc w:val="left"/>
      <w:pPr>
        <w:tabs>
          <w:tab w:val="num" w:pos="0"/>
        </w:tabs>
        <w:ind w:left="15959" w:hanging="360"/>
      </w:pPr>
      <w:rPr/>
    </w:lvl>
    <w:lvl w:ilvl="4">
      <w:start w:val="1"/>
      <w:numFmt w:val="lowerLetter"/>
      <w:lvlText w:val="%5."/>
      <w:lvlJc w:val="left"/>
      <w:pPr>
        <w:tabs>
          <w:tab w:val="num" w:pos="0"/>
        </w:tabs>
        <w:ind w:left="16679" w:hanging="360"/>
      </w:pPr>
      <w:rPr/>
    </w:lvl>
    <w:lvl w:ilvl="5">
      <w:start w:val="1"/>
      <w:numFmt w:val="lowerRoman"/>
      <w:lvlText w:val="%6."/>
      <w:lvlJc w:val="right"/>
      <w:pPr>
        <w:tabs>
          <w:tab w:val="num" w:pos="0"/>
        </w:tabs>
        <w:ind w:left="17399" w:hanging="180"/>
      </w:pPr>
      <w:rPr/>
    </w:lvl>
    <w:lvl w:ilvl="6">
      <w:start w:val="1"/>
      <w:numFmt w:val="decimal"/>
      <w:lvlText w:val="%7."/>
      <w:lvlJc w:val="left"/>
      <w:pPr>
        <w:tabs>
          <w:tab w:val="num" w:pos="0"/>
        </w:tabs>
        <w:ind w:left="18119" w:hanging="360"/>
      </w:pPr>
      <w:rPr/>
    </w:lvl>
    <w:lvl w:ilvl="7">
      <w:start w:val="1"/>
      <w:numFmt w:val="lowerLetter"/>
      <w:lvlText w:val="%8."/>
      <w:lvlJc w:val="left"/>
      <w:pPr>
        <w:tabs>
          <w:tab w:val="num" w:pos="0"/>
        </w:tabs>
        <w:ind w:left="18839" w:hanging="360"/>
      </w:pPr>
      <w:rPr/>
    </w:lvl>
    <w:lvl w:ilvl="8">
      <w:start w:val="1"/>
      <w:numFmt w:val="lowerRoman"/>
      <w:lvlText w:val="%9."/>
      <w:lvlJc w:val="right"/>
      <w:pPr>
        <w:tabs>
          <w:tab w:val="num" w:pos="0"/>
        </w:tabs>
        <w:ind w:left="19559" w:hanging="180"/>
      </w:pPr>
      <w:rPr/>
    </w:lvl>
  </w:abstractNum>
  <w:abstractNum w:abstractNumId="14">
    <w:lvl w:ilvl="0">
      <w:start w:val="1"/>
      <w:numFmt w:val="decimal"/>
      <w:lvlText w:val="%1)"/>
      <w:lvlJc w:val="left"/>
      <w:pPr>
        <w:tabs>
          <w:tab w:val="num" w:pos="0"/>
        </w:tabs>
        <w:ind w:left="720" w:hanging="360"/>
      </w:pPr>
      <w:rPr>
        <w:dstrike w:val="false"/>
        <w:strike w:val="false"/>
        <w:sz w:val="22"/>
        <w:b w:val="false"/>
        <w:szCs w:val="22"/>
        <w:rFonts w:ascii="Times New Roman" w:hAnsi="Times New Roman" w:cs="Times New Roman"/>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360"/>
        </w:tabs>
        <w:ind w:left="360" w:hanging="360"/>
      </w:pPr>
      <w:rPr>
        <w:dstrike w:val="false"/>
        <w:strike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6">
    <w:lvl w:ilvl="0">
      <w:start w:val="1"/>
      <w:numFmt w:val="decimal"/>
      <w:lvlText w:val="%1."/>
      <w:lvlJc w:val="left"/>
      <w:pPr>
        <w:tabs>
          <w:tab w:val="num" w:pos="780"/>
        </w:tabs>
        <w:ind w:left="780" w:hanging="420"/>
      </w:pPr>
      <w:rPr>
        <w:dstrike w:val="false"/>
        <w:strike w:val="false"/>
        <w:sz w:val="22"/>
        <w:i w:val="false"/>
        <w:b w:val="false"/>
        <w:szCs w:val="22"/>
        <w:rFonts w:eastAsia="Bookman Old Style"/>
      </w:rPr>
    </w:lvl>
    <w:lvl w:ilvl="1">
      <w:start w:val="1"/>
      <w:numFmt w:val="decimal"/>
      <w:lvlText w:val="%2)"/>
      <w:lvlJc w:val="left"/>
      <w:pPr>
        <w:tabs>
          <w:tab w:val="num" w:pos="360"/>
        </w:tabs>
        <w:ind w:left="360" w:hanging="360"/>
      </w:pPr>
      <w:rPr>
        <w:sz w:val="22"/>
        <w:szCs w:val="22"/>
        <w:rFonts w:ascii="Times New Roman" w:hAnsi="Times New Roman" w:eastAsia="Times New Roman" w:cs="Times New Roman"/>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7">
    <w:lvl w:ilvl="0">
      <w:start w:val="1"/>
      <w:numFmt w:val="decimal"/>
      <w:lvlText w:val="%1)"/>
      <w:lvlJc w:val="left"/>
      <w:pPr>
        <w:tabs>
          <w:tab w:val="num" w:pos="0"/>
        </w:tabs>
        <w:ind w:left="786" w:hanging="360"/>
      </w:pPr>
      <w:rPr>
        <w:rFonts w:eastAsia="Times New Roman"/>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18">
    <w:lvl w:ilvl="0">
      <w:start w:val="1"/>
      <w:numFmt w:val="decimal"/>
      <w:lvlText w:val="%1)"/>
      <w:lvlJc w:val="left"/>
      <w:pPr>
        <w:tabs>
          <w:tab w:val="num" w:pos="0"/>
        </w:tabs>
        <w:ind w:left="1422" w:hanging="855"/>
      </w:pPr>
      <w:rPr>
        <w:rFonts w:eastAsia="Bookman Old Styl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19">
    <w:lvl w:ilvl="0">
      <w:start w:val="1"/>
      <w:numFmt w:val="decimal"/>
      <w:lvlText w:val="%1)"/>
      <w:lvlJc w:val="left"/>
      <w:pPr>
        <w:tabs>
          <w:tab w:val="num" w:pos="0"/>
        </w:tabs>
        <w:ind w:left="720" w:hanging="360"/>
      </w:pPr>
      <w:rPr>
        <w:sz w:val="22"/>
        <w:szCs w:val="22"/>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decimal"/>
      <w:lvlText w:val="%1)"/>
      <w:lvlJc w:val="left"/>
      <w:pPr>
        <w:tabs>
          <w:tab w:val="num" w:pos="0"/>
        </w:tabs>
        <w:ind w:left="1861" w:hanging="360"/>
      </w:pPr>
      <w:rPr>
        <w:sz w:val="22"/>
        <w:szCs w:val="22"/>
        <w:rFonts w:ascii="Times New Roman" w:hAnsi="Times New Roman" w:cs="Times New Roman"/>
        <w:color w:val="auto"/>
      </w:rPr>
    </w:lvl>
    <w:lvl w:ilvl="1">
      <w:start w:val="1"/>
      <w:numFmt w:val="lowerLetter"/>
      <w:lvlText w:val="%2."/>
      <w:lvlJc w:val="left"/>
      <w:pPr>
        <w:tabs>
          <w:tab w:val="num" w:pos="0"/>
        </w:tabs>
        <w:ind w:left="1719" w:hanging="360"/>
      </w:pPr>
      <w:rPr/>
    </w:lvl>
    <w:lvl w:ilvl="2">
      <w:start w:val="1"/>
      <w:numFmt w:val="lowerRoman"/>
      <w:lvlText w:val="%3."/>
      <w:lvlJc w:val="right"/>
      <w:pPr>
        <w:tabs>
          <w:tab w:val="num" w:pos="0"/>
        </w:tabs>
        <w:ind w:left="3442" w:hanging="180"/>
      </w:pPr>
      <w:rPr/>
    </w:lvl>
    <w:lvl w:ilvl="3">
      <w:start w:val="1"/>
      <w:numFmt w:val="decimal"/>
      <w:lvlText w:val="%4."/>
      <w:lvlJc w:val="left"/>
      <w:pPr>
        <w:tabs>
          <w:tab w:val="num" w:pos="0"/>
        </w:tabs>
        <w:ind w:left="4162" w:hanging="360"/>
      </w:pPr>
      <w:rPr/>
    </w:lvl>
    <w:lvl w:ilvl="4">
      <w:start w:val="1"/>
      <w:numFmt w:val="lowerLetter"/>
      <w:lvlText w:val="%5."/>
      <w:lvlJc w:val="left"/>
      <w:pPr>
        <w:tabs>
          <w:tab w:val="num" w:pos="0"/>
        </w:tabs>
        <w:ind w:left="4882" w:hanging="360"/>
      </w:pPr>
      <w:rPr/>
    </w:lvl>
    <w:lvl w:ilvl="5">
      <w:start w:val="1"/>
      <w:numFmt w:val="lowerRoman"/>
      <w:lvlText w:val="%6."/>
      <w:lvlJc w:val="right"/>
      <w:pPr>
        <w:tabs>
          <w:tab w:val="num" w:pos="0"/>
        </w:tabs>
        <w:ind w:left="5602" w:hanging="180"/>
      </w:pPr>
      <w:rPr/>
    </w:lvl>
    <w:lvl w:ilvl="6">
      <w:start w:val="1"/>
      <w:numFmt w:val="decimal"/>
      <w:lvlText w:val="%7."/>
      <w:lvlJc w:val="left"/>
      <w:pPr>
        <w:tabs>
          <w:tab w:val="num" w:pos="0"/>
        </w:tabs>
        <w:ind w:left="6322" w:hanging="360"/>
      </w:pPr>
      <w:rPr/>
    </w:lvl>
    <w:lvl w:ilvl="7">
      <w:start w:val="1"/>
      <w:numFmt w:val="lowerLetter"/>
      <w:lvlText w:val="%8."/>
      <w:lvlJc w:val="left"/>
      <w:pPr>
        <w:tabs>
          <w:tab w:val="num" w:pos="0"/>
        </w:tabs>
        <w:ind w:left="7042" w:hanging="360"/>
      </w:pPr>
      <w:rPr/>
    </w:lvl>
    <w:lvl w:ilvl="8">
      <w:start w:val="1"/>
      <w:numFmt w:val="lowerRoman"/>
      <w:lvlText w:val="%9."/>
      <w:lvlJc w:val="right"/>
      <w:pPr>
        <w:tabs>
          <w:tab w:val="num" w:pos="0"/>
        </w:tabs>
        <w:ind w:left="7762" w:hanging="180"/>
      </w:pPr>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d2bc0"/>
    <w:pPr>
      <w:widowControl/>
      <w:suppressAutoHyphens w:val="true"/>
      <w:bidi w:val="0"/>
      <w:spacing w:before="0" w:after="0"/>
      <w:jc w:val="left"/>
    </w:pPr>
    <w:rPr>
      <w:rFonts w:ascii="Times New Roman" w:hAnsi="Times New Roman" w:eastAsia="Times New Roman" w:cs="Times New Roman"/>
      <w:color w:val="auto"/>
      <w:kern w:val="0"/>
      <w:sz w:val="20"/>
      <w:szCs w:val="20"/>
      <w:lang w:eastAsia="ar-SA" w:val="pl-PL" w:bidi="ar-SA"/>
    </w:rPr>
  </w:style>
  <w:style w:type="paragraph" w:styleId="Heading1">
    <w:name w:val="Heading 1"/>
    <w:basedOn w:val="Normal"/>
    <w:next w:val="Normal"/>
    <w:qFormat/>
    <w:rsid w:val="008d2bc0"/>
    <w:pPr>
      <w:keepNext w:val="true"/>
      <w:numPr>
        <w:ilvl w:val="0"/>
        <w:numId w:val="2"/>
      </w:numPr>
      <w:outlineLvl w:val="0"/>
    </w:pPr>
    <w:rPr>
      <w:b/>
      <w:sz w:val="40"/>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760660"/>
    <w:rPr/>
  </w:style>
  <w:style w:type="character" w:styleId="Znakiprzypiswkocowych">
    <w:name w:val="Znaki przypisów końcowych"/>
    <w:basedOn w:val="DefaultParagraphFont"/>
    <w:semiHidden/>
    <w:qFormat/>
    <w:rsid w:val="00266ea6"/>
    <w:rPr>
      <w:vertAlign w:val="superscript"/>
    </w:rPr>
  </w:style>
  <w:style w:type="character" w:styleId="EndnoteReference">
    <w:name w:val="Endnote Reference"/>
    <w:rPr>
      <w:vertAlign w:val="superscript"/>
    </w:rPr>
  </w:style>
  <w:style w:type="character" w:styleId="WW-Absatz-Standardschriftart" w:customStyle="1">
    <w:name w:val="WW-Absatz-Standardschriftart"/>
    <w:qFormat/>
    <w:rsid w:val="00e42a1f"/>
    <w:rPr/>
  </w:style>
  <w:style w:type="character" w:styleId="WW8Num8z0" w:customStyle="1">
    <w:name w:val="WW8Num8z0"/>
    <w:qFormat/>
    <w:rsid w:val="00ab15e8"/>
    <w:rPr>
      <w:rFonts w:ascii="StarSymbol" w:hAnsi="StarSymbol" w:cs="StarSymbol"/>
      <w:sz w:val="18"/>
      <w:szCs w:val="18"/>
    </w:rPr>
  </w:style>
  <w:style w:type="character" w:styleId="ZwykytekstZnak" w:customStyle="1">
    <w:name w:val="Zwykły tekst Znak"/>
    <w:basedOn w:val="DefaultParagraphFont"/>
    <w:link w:val="PlainText"/>
    <w:qFormat/>
    <w:rsid w:val="0083566a"/>
    <w:rPr>
      <w:rFonts w:ascii="Courier New" w:hAnsi="Courier New"/>
    </w:rPr>
  </w:style>
  <w:style w:type="character" w:styleId="Annotationreference">
    <w:name w:val="annotation reference"/>
    <w:basedOn w:val="DefaultParagraphFont"/>
    <w:semiHidden/>
    <w:qFormat/>
    <w:rsid w:val="00725038"/>
    <w:rPr>
      <w:sz w:val="16"/>
      <w:szCs w:val="16"/>
    </w:rPr>
  </w:style>
  <w:style w:type="character" w:styleId="StopkaZnak" w:customStyle="1">
    <w:name w:val="Stopka Znak"/>
    <w:basedOn w:val="DefaultParagraphFont"/>
    <w:uiPriority w:val="99"/>
    <w:qFormat/>
    <w:rsid w:val="00757389"/>
    <w:rPr>
      <w:lang w:eastAsia="ar-SA"/>
    </w:rPr>
  </w:style>
  <w:style w:type="character" w:styleId="St" w:customStyle="1">
    <w:name w:val="st"/>
    <w:basedOn w:val="DefaultParagraphFont"/>
    <w:uiPriority w:val="99"/>
    <w:qFormat/>
    <w:rsid w:val="005e4f4f"/>
    <w:rPr/>
  </w:style>
  <w:style w:type="character" w:styleId="Emphasis">
    <w:name w:val="Emphasis"/>
    <w:uiPriority w:val="20"/>
    <w:qFormat/>
    <w:rsid w:val="005e4f4f"/>
    <w:rPr>
      <w:i/>
      <w:iCs/>
    </w:rPr>
  </w:style>
  <w:style w:type="character" w:styleId="AkapitzlistZnak" w:customStyle="1">
    <w:name w:val="Akapit z listą Znak"/>
    <w:link w:val="ListParagraph"/>
    <w:uiPriority w:val="34"/>
    <w:qFormat/>
    <w:rsid w:val="001341f8"/>
    <w:rPr>
      <w:rFonts w:eastAsia="Lucida Sans Unicode"/>
      <w:color w:val="000000"/>
      <w:sz w:val="24"/>
      <w:szCs w:val="24"/>
      <w:lang w:eastAsia="ar-SA"/>
    </w:rPr>
  </w:style>
  <w:style w:type="character" w:styleId="NormalZnak" w:customStyle="1">
    <w:name w:val="Normal Znak"/>
    <w:link w:val="Normalny1"/>
    <w:qFormat/>
    <w:rsid w:val="006e0d97"/>
    <w:rPr>
      <w:sz w:val="24"/>
      <w:szCs w:val="24"/>
      <w:lang w:eastAsia="ar-SA"/>
    </w:rPr>
  </w:style>
  <w:style w:type="character" w:styleId="TekstpodstawowywcityZnak" w:customStyle="1">
    <w:name w:val="Tekst podstawowy wcięty Znak"/>
    <w:basedOn w:val="DefaultParagraphFont"/>
    <w:semiHidden/>
    <w:qFormat/>
    <w:rsid w:val="00f157f7"/>
    <w:rPr>
      <w:lang w:eastAsia="ar-SA"/>
    </w:rPr>
  </w:style>
  <w:style w:type="character" w:styleId="Hyperlink">
    <w:name w:val="Hyperlink"/>
    <w:basedOn w:val="DefaultParagraphFont"/>
    <w:unhideWhenUsed/>
    <w:rsid w:val="00f024c0"/>
    <w:rPr>
      <w:color w:themeColor="hyperlink" w:val="0000FF"/>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8d2bc0"/>
    <w:pPr/>
    <w:rPr>
      <w:b/>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WW-Tekstpodstawowy2" w:customStyle="1">
    <w:name w:val="WW-Tekst podstawowy 2"/>
    <w:basedOn w:val="Normal"/>
    <w:qFormat/>
    <w:rsid w:val="008d2bc0"/>
    <w:pPr>
      <w:spacing w:lineRule="auto" w:line="360"/>
      <w:jc w:val="both"/>
    </w:pPr>
    <w:rPr>
      <w:rFonts w:ascii="Bookman Old Style" w:hAnsi="Bookman Old Style"/>
      <w:sz w:val="24"/>
    </w:rPr>
  </w:style>
  <w:style w:type="paragraph" w:styleId="Sowowa" w:customStyle="1">
    <w:name w:val="Sowowa"/>
    <w:basedOn w:val="Normal"/>
    <w:qFormat/>
    <w:rsid w:val="008d2bc0"/>
    <w:pPr>
      <w:widowControl w:val="false"/>
      <w:spacing w:lineRule="auto" w:line="360"/>
    </w:pPr>
    <w:rPr>
      <w:sz w:val="24"/>
    </w:rPr>
  </w:style>
  <w:style w:type="paragraph" w:styleId="Gwkaistopka">
    <w:name w:val="Główka i stopka"/>
    <w:basedOn w:val="Normal"/>
    <w:qFormat/>
    <w:pPr/>
    <w:rPr/>
  </w:style>
  <w:style w:type="paragraph" w:styleId="Header">
    <w:name w:val="Header"/>
    <w:basedOn w:val="Normal"/>
    <w:next w:val="BodyText"/>
    <w:rsid w:val="00760660"/>
    <w:pPr>
      <w:keepNext w:val="true"/>
      <w:spacing w:before="240" w:after="120"/>
    </w:pPr>
    <w:rPr>
      <w:rFonts w:ascii="Arial" w:hAnsi="Arial" w:eastAsia="Lucida Sans Unicode" w:cs="Tahoma"/>
      <w:sz w:val="28"/>
      <w:szCs w:val="28"/>
    </w:rPr>
  </w:style>
  <w:style w:type="paragraph" w:styleId="Footer">
    <w:name w:val="Footer"/>
    <w:basedOn w:val="Normal"/>
    <w:link w:val="StopkaZnak"/>
    <w:uiPriority w:val="99"/>
    <w:rsid w:val="00760660"/>
    <w:pPr>
      <w:tabs>
        <w:tab w:val="clear" w:pos="709"/>
        <w:tab w:val="center" w:pos="4536" w:leader="none"/>
        <w:tab w:val="right" w:pos="9072" w:leader="none"/>
      </w:tabs>
    </w:pPr>
    <w:rPr/>
  </w:style>
  <w:style w:type="paragraph" w:styleId="WW-Tekstpodstawowywcity2" w:customStyle="1">
    <w:name w:val="WW-Tekst podstawowy wcięty 2"/>
    <w:basedOn w:val="Normal"/>
    <w:uiPriority w:val="99"/>
    <w:qFormat/>
    <w:rsid w:val="00760660"/>
    <w:pPr>
      <w:ind w:hanging="426" w:left="426"/>
      <w:jc w:val="both"/>
    </w:pPr>
    <w:rPr>
      <w:rFonts w:ascii="Bookman Old Style" w:hAnsi="Bookman Old Style"/>
      <w:sz w:val="24"/>
    </w:rPr>
  </w:style>
  <w:style w:type="paragraph" w:styleId="Normalny1" w:customStyle="1">
    <w:name w:val="Normalny1"/>
    <w:basedOn w:val="Normal"/>
    <w:link w:val="NormalZnak"/>
    <w:qFormat/>
    <w:rsid w:val="00bf7e21"/>
    <w:pPr/>
    <w:rPr>
      <w:sz w:val="24"/>
      <w:szCs w:val="24"/>
    </w:rPr>
  </w:style>
  <w:style w:type="paragraph" w:styleId="Tekstpodstawowy21" w:customStyle="1">
    <w:name w:val="Tekst podstawowy 21"/>
    <w:basedOn w:val="Normalny1"/>
    <w:uiPriority w:val="99"/>
    <w:qFormat/>
    <w:rsid w:val="00760660"/>
    <w:pPr>
      <w:widowControl w:val="false"/>
      <w:ind w:hanging="426" w:left="426"/>
      <w:jc w:val="both"/>
    </w:pPr>
    <w:rPr>
      <w:rFonts w:ascii="Bookman Old Style" w:hAnsi="Bookman Old Style" w:eastAsia="Bookman Old Style" w:cs="Bookman Old Style"/>
      <w:lang w:eastAsia="pl-PL" w:bidi="pl-PL"/>
    </w:rPr>
  </w:style>
  <w:style w:type="paragraph" w:styleId="Tekstpodstawowywcity31" w:customStyle="1">
    <w:name w:val="Tekst podstawowy wcięty 31"/>
    <w:basedOn w:val="Normalny1"/>
    <w:qFormat/>
    <w:rsid w:val="00760660"/>
    <w:pPr>
      <w:widowControl w:val="false"/>
      <w:ind w:left="426"/>
      <w:jc w:val="both"/>
    </w:pPr>
    <w:rPr>
      <w:rFonts w:ascii="Bookman Old Style" w:hAnsi="Bookman Old Style" w:eastAsia="Bookman Old Style" w:cs="Bookman Old Style"/>
      <w:lang w:eastAsia="pl-PL" w:bidi="pl-PL"/>
    </w:rPr>
  </w:style>
  <w:style w:type="paragraph" w:styleId="Tytu1" w:customStyle="1">
    <w:name w:val="Tytuł1"/>
    <w:basedOn w:val="Normalny1"/>
    <w:qFormat/>
    <w:rsid w:val="00760660"/>
    <w:pPr>
      <w:widowControl w:val="false"/>
      <w:jc w:val="center"/>
    </w:pPr>
    <w:rPr>
      <w:rFonts w:ascii="Bookman Old Style" w:hAnsi="Bookman Old Style" w:eastAsia="Bookman Old Style" w:cs="Bookman Old Style"/>
      <w:b/>
      <w:bCs/>
      <w:sz w:val="28"/>
      <w:szCs w:val="28"/>
      <w:lang w:eastAsia="pl-PL" w:bidi="pl-PL"/>
    </w:rPr>
  </w:style>
  <w:style w:type="paragraph" w:styleId="DocumentMap">
    <w:name w:val="Document Map"/>
    <w:basedOn w:val="Normal"/>
    <w:semiHidden/>
    <w:qFormat/>
    <w:rsid w:val="007719a2"/>
    <w:pPr>
      <w:shd w:val="clear" w:color="auto" w:fill="000080"/>
    </w:pPr>
    <w:rPr>
      <w:rFonts w:ascii="Tahoma" w:hAnsi="Tahoma" w:cs="Tahoma"/>
    </w:rPr>
  </w:style>
  <w:style w:type="paragraph" w:styleId="BalloonText">
    <w:name w:val="Balloon Text"/>
    <w:basedOn w:val="Normal"/>
    <w:semiHidden/>
    <w:qFormat/>
    <w:rsid w:val="008703cf"/>
    <w:pPr/>
    <w:rPr>
      <w:rFonts w:ascii="Tahoma" w:hAnsi="Tahoma" w:cs="Tahoma"/>
      <w:sz w:val="16"/>
      <w:szCs w:val="16"/>
    </w:rPr>
  </w:style>
  <w:style w:type="paragraph" w:styleId="EndnoteText">
    <w:name w:val="Endnote Text"/>
    <w:basedOn w:val="Normal"/>
    <w:semiHidden/>
    <w:rsid w:val="00266ea6"/>
    <w:pPr/>
    <w:rPr/>
  </w:style>
  <w:style w:type="paragraph" w:styleId="Znak1" w:customStyle="1">
    <w:name w:val="Znak1"/>
    <w:basedOn w:val="Normal"/>
    <w:qFormat/>
    <w:rsid w:val="008a4887"/>
    <w:pPr>
      <w:suppressAutoHyphens w:val="false"/>
    </w:pPr>
    <w:rPr>
      <w:rFonts w:ascii="Arial" w:hAnsi="Arial" w:cs="Arial"/>
      <w:sz w:val="24"/>
      <w:szCs w:val="24"/>
      <w:lang w:eastAsia="pl-PL"/>
    </w:rPr>
  </w:style>
  <w:style w:type="paragraph" w:styleId="Znak" w:customStyle="1">
    <w:name w:val="Znak"/>
    <w:basedOn w:val="Normal"/>
    <w:qFormat/>
    <w:rsid w:val="008f01bc"/>
    <w:pPr>
      <w:suppressAutoHyphens w:val="false"/>
    </w:pPr>
    <w:rPr>
      <w:rFonts w:ascii="Arial" w:hAnsi="Arial" w:cs="Arial"/>
      <w:sz w:val="24"/>
      <w:szCs w:val="24"/>
      <w:lang w:eastAsia="pl-PL"/>
    </w:rPr>
  </w:style>
  <w:style w:type="paragraph" w:styleId="ZnakZnakZnak" w:customStyle="1">
    <w:name w:val="Znak Znak Znak"/>
    <w:basedOn w:val="Normal"/>
    <w:qFormat/>
    <w:rsid w:val="00be2301"/>
    <w:pPr>
      <w:suppressAutoHyphens w:val="false"/>
    </w:pPr>
    <w:rPr>
      <w:rFonts w:ascii="Arial" w:hAnsi="Arial" w:cs="Arial"/>
      <w:sz w:val="24"/>
      <w:szCs w:val="24"/>
      <w:lang w:eastAsia="pl-PL"/>
    </w:rPr>
  </w:style>
  <w:style w:type="paragraph" w:styleId="ZnakZnak1" w:customStyle="1">
    <w:name w:val="Znak Znak1"/>
    <w:basedOn w:val="Normal"/>
    <w:qFormat/>
    <w:rsid w:val="0006767a"/>
    <w:pPr>
      <w:suppressAutoHyphens w:val="false"/>
    </w:pPr>
    <w:rPr>
      <w:rFonts w:ascii="Arial" w:hAnsi="Arial" w:cs="Arial"/>
      <w:sz w:val="24"/>
      <w:szCs w:val="24"/>
      <w:lang w:eastAsia="pl-PL"/>
    </w:rPr>
  </w:style>
  <w:style w:type="paragraph" w:styleId="ZnakZnakZnakZnak" w:customStyle="1">
    <w:name w:val="Znak Znak Znak Znak"/>
    <w:basedOn w:val="Normal"/>
    <w:qFormat/>
    <w:rsid w:val="001e7001"/>
    <w:pPr>
      <w:suppressAutoHyphens w:val="false"/>
    </w:pPr>
    <w:rPr>
      <w:rFonts w:ascii="Arial" w:hAnsi="Arial" w:cs="Arial"/>
      <w:sz w:val="24"/>
      <w:szCs w:val="24"/>
      <w:lang w:eastAsia="pl-PL"/>
    </w:rPr>
  </w:style>
  <w:style w:type="paragraph" w:styleId="Tekstpodstawowy31" w:customStyle="1">
    <w:name w:val="Tekst podstawowy 31"/>
    <w:basedOn w:val="Normalny1"/>
    <w:qFormat/>
    <w:rsid w:val="004a0177"/>
    <w:pPr>
      <w:jc w:val="center"/>
    </w:pPr>
    <w:rPr>
      <w:b/>
      <w:bCs/>
    </w:rPr>
  </w:style>
  <w:style w:type="paragraph" w:styleId="WW-Tekstpodstawowy3" w:customStyle="1">
    <w:name w:val="WW-Tekst podstawowy 3"/>
    <w:basedOn w:val="Normal"/>
    <w:qFormat/>
    <w:rsid w:val="001e100b"/>
    <w:pPr>
      <w:ind w:right="-1"/>
      <w:jc w:val="both"/>
    </w:pPr>
    <w:rPr>
      <w:rFonts w:ascii="Bookman Old Style" w:hAnsi="Bookman Old Style"/>
      <w:sz w:val="22"/>
    </w:rPr>
  </w:style>
  <w:style w:type="paragraph" w:styleId="Zwykytekst1" w:customStyle="1">
    <w:name w:val="Zwykły tekst1"/>
    <w:basedOn w:val="Normal"/>
    <w:qFormat/>
    <w:rsid w:val="001e100b"/>
    <w:pPr/>
    <w:rPr>
      <w:rFonts w:ascii="Courier New" w:hAnsi="Courier New"/>
    </w:rPr>
  </w:style>
  <w:style w:type="paragraph" w:styleId="Default" w:customStyle="1">
    <w:name w:val="Default"/>
    <w:qFormat/>
    <w:rsid w:val="001e100b"/>
    <w:pPr>
      <w:widowControl/>
      <w:bidi w:val="0"/>
      <w:spacing w:before="0" w:after="0"/>
      <w:jc w:val="left"/>
    </w:pPr>
    <w:rPr>
      <w:rFonts w:ascii="Arial" w:hAnsi="Arial" w:eastAsia="Calibri" w:cs="Arial"/>
      <w:color w:val="000000"/>
      <w:kern w:val="0"/>
      <w:sz w:val="24"/>
      <w:szCs w:val="24"/>
      <w:lang w:eastAsia="en-US" w:val="pl-PL" w:bidi="ar-SA"/>
    </w:rPr>
  </w:style>
  <w:style w:type="paragraph" w:styleId="Styl1" w:customStyle="1">
    <w:name w:val="Styl1"/>
    <w:basedOn w:val="Normal"/>
    <w:qFormat/>
    <w:rsid w:val="000f6ff6"/>
    <w:pPr>
      <w:widowControl w:val="false"/>
      <w:spacing w:before="240" w:after="0"/>
      <w:jc w:val="both"/>
    </w:pPr>
    <w:rPr>
      <w:rFonts w:ascii="Arial" w:hAnsi="Arial"/>
      <w:sz w:val="24"/>
    </w:rPr>
  </w:style>
  <w:style w:type="paragraph" w:styleId="Annotationtext">
    <w:name w:val="annotation text"/>
    <w:basedOn w:val="Normal"/>
    <w:semiHidden/>
    <w:qFormat/>
    <w:rsid w:val="00847093"/>
    <w:pPr/>
    <w:rPr/>
  </w:style>
  <w:style w:type="paragraph" w:styleId="Annotationsubject">
    <w:name w:val="annotation subject"/>
    <w:basedOn w:val="Annotationtext"/>
    <w:next w:val="Annotationtext"/>
    <w:semiHidden/>
    <w:qFormat/>
    <w:rsid w:val="00847093"/>
    <w:pPr>
      <w:widowControl w:val="false"/>
    </w:pPr>
    <w:rPr>
      <w:rFonts w:eastAsia="Lucida Sans Unicode"/>
      <w:b/>
      <w:bCs/>
      <w:color w:val="000000"/>
    </w:rPr>
  </w:style>
  <w:style w:type="paragraph" w:styleId="ListParagraph">
    <w:name w:val="List Paragraph"/>
    <w:basedOn w:val="Normal"/>
    <w:link w:val="AkapitzlistZnak"/>
    <w:uiPriority w:val="34"/>
    <w:qFormat/>
    <w:rsid w:val="00b618be"/>
    <w:pPr>
      <w:widowControl w:val="false"/>
      <w:ind w:left="708"/>
    </w:pPr>
    <w:rPr>
      <w:rFonts w:eastAsia="Lucida Sans Unicode"/>
      <w:color w:val="000000"/>
      <w:sz w:val="24"/>
      <w:szCs w:val="24"/>
    </w:rPr>
  </w:style>
  <w:style w:type="paragraph" w:styleId="Normalny2" w:customStyle="1">
    <w:name w:val="Normalny2"/>
    <w:basedOn w:val="Normal"/>
    <w:qFormat/>
    <w:rsid w:val="00ef0ed5"/>
    <w:pPr/>
    <w:rPr>
      <w:sz w:val="24"/>
      <w:szCs w:val="24"/>
    </w:rPr>
  </w:style>
  <w:style w:type="paragraph" w:styleId="PlainText">
    <w:name w:val="Plain Text"/>
    <w:basedOn w:val="Normal"/>
    <w:link w:val="ZwykytekstZnak"/>
    <w:qFormat/>
    <w:rsid w:val="0083566a"/>
    <w:pPr>
      <w:suppressAutoHyphens w:val="false"/>
    </w:pPr>
    <w:rPr>
      <w:rFonts w:ascii="Courier New" w:hAnsi="Courier New"/>
    </w:rPr>
  </w:style>
  <w:style w:type="paragraph" w:styleId="Normalny3" w:customStyle="1">
    <w:name w:val="Normalny3"/>
    <w:basedOn w:val="Normal"/>
    <w:qFormat/>
    <w:rsid w:val="00d42c70"/>
    <w:pPr/>
    <w:rPr>
      <w:sz w:val="24"/>
      <w:szCs w:val="24"/>
    </w:rPr>
  </w:style>
  <w:style w:type="paragraph" w:styleId="Normalny11" w:customStyle="1">
    <w:name w:val="normalny11"/>
    <w:basedOn w:val="Normal"/>
    <w:qFormat/>
    <w:rsid w:val="00c81759"/>
    <w:pPr>
      <w:suppressAutoHyphens w:val="false"/>
      <w:spacing w:beforeAutospacing="1" w:afterAutospacing="1"/>
    </w:pPr>
    <w:rPr>
      <w:rFonts w:eastAsia="Calibri" w:eastAsiaTheme="minorHAnsi"/>
      <w:sz w:val="24"/>
      <w:szCs w:val="24"/>
      <w:lang w:eastAsia="pl-PL"/>
    </w:rPr>
  </w:style>
  <w:style w:type="paragraph" w:styleId="NormalWeb">
    <w:name w:val="Normal (Web)"/>
    <w:basedOn w:val="Normal"/>
    <w:uiPriority w:val="99"/>
    <w:semiHidden/>
    <w:unhideWhenUsed/>
    <w:qFormat/>
    <w:rsid w:val="00bf2acb"/>
    <w:pPr>
      <w:suppressAutoHyphens w:val="false"/>
      <w:spacing w:beforeAutospacing="1" w:afterAutospacing="1"/>
    </w:pPr>
    <w:rPr>
      <w:sz w:val="24"/>
      <w:szCs w:val="24"/>
      <w:lang w:eastAsia="pl-PL"/>
    </w:rPr>
  </w:style>
  <w:style w:type="paragraph" w:styleId="BodyTextIndent">
    <w:name w:val="Body Text Indent"/>
    <w:basedOn w:val="Normal"/>
    <w:link w:val="TekstpodstawowywcityZnak"/>
    <w:semiHidden/>
    <w:unhideWhenUsed/>
    <w:rsid w:val="00f157f7"/>
    <w:pPr>
      <w:spacing w:before="0" w:after="120"/>
      <w:ind w:left="283"/>
    </w:pPr>
    <w:rPr/>
  </w:style>
  <w:style w:type="paragraph" w:styleId="Normalny4" w:customStyle="1">
    <w:name w:val="Normalny4"/>
    <w:basedOn w:val="Normal"/>
    <w:uiPriority w:val="99"/>
    <w:qFormat/>
    <w:rsid w:val="00f157f7"/>
    <w:pPr/>
    <w:rPr>
      <w:sz w:val="24"/>
      <w:szCs w:val="24"/>
    </w:rPr>
  </w:style>
  <w:style w:type="paragraph" w:styleId="Zawartoramki">
    <w:name w:val="Zawartość ramki"/>
    <w:basedOn w:val="Normal"/>
    <w:qFormat/>
    <w:pPr/>
    <w:rPr/>
  </w:style>
  <w:style w:type="numbering" w:styleId="NoList" w:default="1">
    <w:name w:val="No List"/>
    <w:uiPriority w:val="99"/>
    <w:semiHidden/>
    <w:unhideWhenUsed/>
    <w:qFormat/>
  </w:style>
  <w:style w:type="numbering" w:styleId="Biecalista1" w:customStyle="1">
    <w:name w:val="Bieżąca lista1"/>
    <w:uiPriority w:val="99"/>
    <w:qFormat/>
    <w:rsid w:val="004612b8"/>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iuro.jtbs@gmail.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BA70F1-380D-45B5-860B-33FCD8143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Application>LibreOffice/24.2.1.2$Windows_X86_64 LibreOffice_project/db4def46b0453cc22e2d0305797cf981b68ef5ac</Application>
  <AppVersion>15.0000</AppVersion>
  <Pages>15</Pages>
  <Words>7621</Words>
  <Characters>50621</Characters>
  <CharactersWithSpaces>59527</CharactersWithSpaces>
  <Paragraphs>332</Paragraphs>
  <Company>Urząd Miasta w Tomaszowie Maz.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2026-07-31T08:16:00Z</dcterms:created>
  <dc:creator>Marta_Wawrzynczak (UM Tomaszów zam publ)</dc:creator>
  <dc:description/>
  <dc:language>pl-PL</dc:language>
  <cp:lastModifiedBy/>
  <cp:lastPrinted>2024-01-23T13:58:00Z</cp:lastPrinted>
  <dcterms:modified xsi:type="dcterms:W3CDTF">2026-09-30T09:52:31Z</dcterms:modified>
  <cp:revision>6</cp:revision>
  <dc:subject/>
  <dc:title>Znak sprawy ZRP/45/2005</dc:title>
</cp:coreProperties>
</file>

<file path=docProps/custom.xml><?xml version="1.0" encoding="utf-8"?>
<Properties xmlns="http://schemas.openxmlformats.org/officeDocument/2006/custom-properties" xmlns:vt="http://schemas.openxmlformats.org/officeDocument/2006/docPropsVTypes"/>
</file>